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7"/>
        <w:gridCol w:w="5174"/>
      </w:tblGrid>
      <w:tr w:rsidR="005A1D91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055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 Hazards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/Hazard Communication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055B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Industrial Hygiene</w:t>
            </w:r>
          </w:p>
        </w:tc>
      </w:tr>
      <w:tr w:rsidR="005A1D91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5A1D91" w:rsidRPr="005A1D9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Industrial Hygiene</w:t>
              </w:r>
            </w:hyperlink>
          </w:p>
        </w:tc>
      </w:tr>
      <w:tr w:rsidR="005A1D91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FD6A1E" w:rsidRPr="006E086B" w:rsidRDefault="00FD6A1E" w:rsidP="00FD6A1E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 quality monitoring devices</w:t>
            </w:r>
          </w:p>
          <w:p w:rsidR="00FD6A1E" w:rsidRPr="00243649" w:rsidRDefault="00FD6A1E" w:rsidP="00FD6A1E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protection</w:t>
            </w:r>
          </w:p>
          <w:p w:rsidR="00FD6A1E" w:rsidRPr="00A31A56" w:rsidRDefault="00FD6A1E" w:rsidP="00FD6A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Eye and face protection</w:t>
            </w:r>
          </w:p>
          <w:p w:rsidR="00FD6A1E" w:rsidRPr="00243649" w:rsidRDefault="00FD6A1E" w:rsidP="00FD6A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Hand, foot, body protection</w:t>
            </w:r>
          </w:p>
          <w:p w:rsidR="00D969D8" w:rsidRPr="00055B36" w:rsidRDefault="00D969D8" w:rsidP="00FD6A1E">
            <w:pPr>
              <w:pStyle w:val="ListParagraph"/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055B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hyperlink r:id="rId6" w:history="1">
              <w:r w:rsidR="00055B36" w:rsidRPr="00055B3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The Right thing To do. What is Industrial Hygiene</w:t>
              </w:r>
              <w:r w:rsidR="00055B36" w:rsidRPr="00055B3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?</w:t>
              </w:r>
            </w:hyperlink>
          </w:p>
          <w:p w:rsidR="00D969D8" w:rsidRPr="00D969D8" w:rsidRDefault="00FD6A1E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D969D8" w:rsidRPr="00FD6A1E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 </w:t>
              </w:r>
              <w:proofErr w:type="spellStart"/>
              <w:r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Haselde</w:t>
              </w:r>
              <w:r w:rsidRPr="00FD6A1E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n’s</w:t>
              </w:r>
              <w:proofErr w:type="spellEnd"/>
              <w:r w:rsidRPr="00FD6A1E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 Construction Introduction to Silica Safety</w:t>
              </w:r>
            </w:hyperlink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926938" w:rsidP="00926938">
            <w:pPr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="00D33003" w:rsidRPr="00D33003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Asbestos and Human History</w:t>
              </w:r>
            </w:hyperlink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covers Health Hazards in Construction and Industrial Hygiene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 Special e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mphasis will be placed on understanding health hazards unique to construction, the hierarchy of controls, and the Hazard Communication Standard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5A1D91" w:rsidRDefault="00D969D8" w:rsidP="005A1D91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Identify 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 health hazards in construction</w:t>
            </w:r>
          </w:p>
          <w:p w:rsidR="005A1D91" w:rsidRDefault="005A1D91" w:rsidP="005A1D91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1D91">
              <w:rPr>
                <w:rFonts w:ascii="Arial" w:eastAsia="Times New Roman" w:hAnsi="Arial" w:cs="Arial"/>
                <w:sz w:val="20"/>
                <w:szCs w:val="20"/>
              </w:rPr>
              <w:t>Recognize and understand the Hierarchy of Controls.</w:t>
            </w:r>
          </w:p>
          <w:p w:rsidR="005A1D91" w:rsidRPr="005A1D91" w:rsidRDefault="005A1D91" w:rsidP="005A1D91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Recognize the primary elements of the Hazard Communication Standard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study a particular health hazard</w:t>
            </w:r>
            <w:r w:rsid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(element or chemical)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</w:t>
            </w:r>
            <w:r w:rsid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fy potential standards that may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apply to </w:t>
            </w:r>
            <w:r w:rsidR="005A1D9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chosen health hazard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0C4F7F" w:rsidRP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</w:t>
            </w:r>
            <w:r w:rsidR="00D33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 in groups identify the SDS sections describing the specific health hazards</w:t>
            </w:r>
            <w:r w:rsidR="000C4F7F" w:rsidRP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D969D8" w:rsidRPr="00D969D8" w:rsidRDefault="00D969D8" w:rsidP="00D33003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D33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Describe what the </w:t>
            </w:r>
            <w:r w:rsidR="000C4F7F" w:rsidRP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</w:t>
            </w:r>
            <w:r w:rsidR="00D33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states regarding the chosen health hazard</w:t>
            </w:r>
            <w:r w:rsidR="000C4F7F" w:rsidRPr="000C4F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D330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How does the information compare to what is found in the standards.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055B36"/>
    <w:rsid w:val="000C4F7F"/>
    <w:rsid w:val="00243649"/>
    <w:rsid w:val="004872F2"/>
    <w:rsid w:val="005A1D91"/>
    <w:rsid w:val="00926938"/>
    <w:rsid w:val="009B63C0"/>
    <w:rsid w:val="00AF552A"/>
    <w:rsid w:val="00D33003"/>
    <w:rsid w:val="00D969D8"/>
    <w:rsid w:val="00F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EJ-4koV7m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tKGEMk8g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k7GPWBoCa0" TargetMode="External"/><Relationship Id="rId5" Type="http://schemas.openxmlformats.org/officeDocument/2006/relationships/hyperlink" Target="https://www.osha.gov/publications/OSHA31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2021-11-12T05:56:00Z</dcterms:created>
  <dcterms:modified xsi:type="dcterms:W3CDTF">2021-11-12T06:16:00Z</dcterms:modified>
</cp:coreProperties>
</file>