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</w:pPr>
      <w:r>
        <w:rPr>
          <w:rFonts w:ascii="Arial" w:cs="Arial" w:eastAsia="Arial" w:hAnsi="Arial"/>
          <w:b/>
          <w:bCs/>
          <w:color w:val="1F3864"/>
          <w:sz w:val="52"/>
          <w:szCs w:val="52"/>
        </w:rPr>
        <w:t xml:space="preserve">Appendix: Impact Weighting Guide</w:t>
      </w:r>
    </w:p>
    <w:p>
      <w:pPr>
        <w:spacing w:after="200"/>
      </w:pPr>
      <w:r>
        <w:rPr>
          <w:rFonts w:ascii="Arial" w:cs="Arial" w:eastAsia="Arial" w:hAnsi="Arial"/>
          <w:color w:val="2F5496"/>
          <w:sz w:val="28"/>
          <w:szCs w:val="28"/>
        </w:rPr>
        <w:t xml:space="preserve">Milestone 2 — Advanced Scoring Reference</w:t>
      </w:r>
    </w:p>
    <w:p>
      <w:pPr>
        <w:spacing w:after="2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SMDC Dashboard Initiative  |  Risk Management Practicum</w:t>
      </w:r>
    </w:p>
    <w:p>
      <w:pPr>
        <w:spacing w:after="80"/>
      </w:pPr>
      <w:r>
        <w:t xml:space="preserve"/>
      </w:r>
    </w:p>
    <w:p>
      <w:pPr>
        <w:pStyle w:val="Heading1"/>
        <w:shd w:fill="2F5496" w:val="clear"/>
        <w:spacing w:after="120" w:before="20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Overview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The standard Risk Impact Matrix treats all six impact dimensions equally. For health equity-focused projects like SMDC, teams may apply differential weighting so that high-stakes dimensions are not masked by lower-urgency scores. This guide explains when and how to apply weights.</w:t>
      </w:r>
    </w:p>
    <w:p>
      <w:pPr>
        <w:spacing w:after="80"/>
      </w:pPr>
      <w:r>
        <w:t xml:space="preserve"/>
      </w:r>
    </w:p>
    <w:p>
      <w:pPr>
        <w:pStyle w:val="Heading1"/>
        <w:shd w:fill="2F5496" w:val="clear"/>
        <w:spacing w:after="120" w:before="20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Impact Dimension Reference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400"/>
        <w:gridCol w:w="3000"/>
        <w:gridCol w:w="316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Dimension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Default Weight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It Captures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F549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When to Increase Weight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Technical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Equal (1.0x)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System reliability, data accuracy, uptime, algorithm performance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When technical failure directly disables core functionality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Clinical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Elevated (1.5x suggested)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Patient safety, clinician workflow, care quality impact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Always — patient safety is the primary mission driver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Regulatory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Elevated (1.5x suggested)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HIPAA, FDA, IRB, consent, legal liability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When operating in a novel regulatory space (e.g., SaMD ambiguity)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Financial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Equal (1.0x)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Budget impact, funding risk, cost of remediation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When operating near grant milestone deadlines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Reputational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Equal (1.0x)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Trust from patients, clinicians, investors, community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When project is publicly visible or in high-scrutiny sector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Equity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Elevated (1.25x suggested)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Access barriers, exclusion of marginalized groups, language gaps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When project mission explicitly includes health equity goals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1"/>
        <w:shd w:fill="2F5496" w:val="clear"/>
        <w:spacing w:after="120" w:before="20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Scoring Formulas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00"/>
        <w:gridCol w:w="316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Scoring Method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Formula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When to Apply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Simple average (default)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Likelihood x AVERAGE(T, C, R, F, Rep, Eq)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Use when no dimension is prioritized over others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Weighted average (advanced)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Likelihood x [(T*1 + C*1.5 + R*1.5 + F*1 + Rep*1 + Eq*1.25) / 7.25]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Use for health equity-focused projects like SMDC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Clinical override flag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If Clinical Impact &gt;= 4, flag HIGH regardless of total score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6"/>
                <w:szCs w:val="16"/>
              </w:rPr>
              <w:t xml:space="preserve">Ensures patient safety risks never fall through the cracks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2"/>
        <w:pBdr>
          <w:bottom w:val="single" w:color="2F5496" w:sz="4" w:space="1"/>
        </w:pBdr>
        <w:spacing w:after="80" w:before="1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Example: Weighted vs. Unweighted Score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Risk R-07 (Patient self-treatment based on misread data): Likelihood = 5, Scores: T=2, C=5, R=3, F=3, Rep=5, Eq=4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Unweighted: 5 x AVERAGE(2,5,3,3,5,4) = 5 x 3.67 = 18.3 → HIGH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Weighted:   5 x [(2 + 7.5 + 4.5 + 3 + 5 + 5) / 7.25] = 5 x 3.72 = 18.6 → HIGH (elevated emphasis on patient safety)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Clinical Override: Clinical Impact = 5 &gt;= 4 → Automatically flagged HIGH regardless of total score</w:t>
      </w:r>
    </w:p>
    <w:p>
      <w:pPr>
        <w:spacing w:after="80"/>
      </w:pPr>
      <w:r>
        <w:t xml:space="preserve"/>
      </w:r>
    </w:p>
    <w:p>
      <w:pPr>
        <w:pStyle w:val="Heading1"/>
        <w:shd w:fill="2F5496" w:val="clear"/>
        <w:spacing w:after="120" w:before="20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When to Use Each Approach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Use simple average when working quickly or when your team lacks consensus on weights.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Use weighted average when presenting to stakeholders for whom specific dimensions carry policy significance.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Always apply the Clinical Override flag in any health technology project.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Document your chosen approach in your Risk Themes Memo so reviewers understand your methodology.</w:t>
      </w:r>
    </w:p>
    <w:p>
      <w:pPr>
        <w:spacing w:after="80"/>
      </w:pPr>
      <w:r>
        <w:t xml:space="preserve"/>
      </w:r>
    </w:p>
    <w:p>
      <w:pPr>
        <w:pStyle w:val="Heading2"/>
        <w:pBdr>
          <w:bottom w:val="single" w:color="2F5496" w:sz="4" w:space="1"/>
        </w:pBdr>
        <w:spacing w:after="80" w:before="1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Team Calibration Exercise (Recommended — 15 minutes)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Choose 2 risks from your RBS as calibration cases.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Have each person score independently, then compare.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Discuss outliers (scores differing by 2+ points).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Agree on shared definitions for scores 3, 4, and 5 in each dimension.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Document the agreed definitions in this appendix before starting full scoring.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00"/>
      <w:outlineLvl w:val="0"/>
    </w:pPr>
    <w:rPr>
      <w:rFonts w:ascii="Arial" w:cs="Arial" w:eastAsia="Arial" w:hAnsi="Arial"/>
      <w:b/>
      <w:bCs/>
      <w:color w:val="FFFFFF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Arial" w:cs="Arial" w:eastAsia="Arial" w:hAnsi="Arial"/>
      <w:b/>
      <w:bCs/>
      <w:color w:val="1F386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2026-06-24T16:27:51.168Z</dcterms:created>
  <dcterms:modified xsi:type="dcterms:W3CDTF">2026-06-24T16:27:51.168Z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