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before="1200"/>
      </w:pPr>
      <w:r>
        <w:rPr>
          <w:rFonts w:ascii="Arial" w:cs="Arial" w:eastAsia="Arial" w:hAnsi="Arial"/>
          <w:b/>
          <w:bCs/>
          <w:color w:val="1F3864"/>
          <w:sz w:val="52"/>
          <w:szCs w:val="52"/>
        </w:rPr>
        <w:t xml:space="preserve">Sample HIPAA Incident Response Guide</w:t>
      </w:r>
    </w:p>
    <w:p>
      <w:pPr>
        <w:spacing w:after="160"/>
      </w:pPr>
      <w:r>
        <w:rPr>
          <w:rFonts w:ascii="Arial" w:cs="Arial" w:eastAsia="Arial" w:hAnsi="Arial"/>
          <w:color w:val="2F5496"/>
          <w:sz w:val="26"/>
          <w:szCs w:val="26"/>
        </w:rPr>
        <w:t xml:space="preserve">Milestone 11 — Reference for CP-02 Contingency Scenario</w:t>
      </w:r>
    </w:p>
    <w:p>
      <w:pPr>
        <w:spacing w:after="160"/>
      </w:pPr>
      <w:r>
        <w:rPr>
          <w:rFonts w:ascii="Arial" w:cs="Arial" w:eastAsia="Arial" w:hAnsi="Arial"/>
          <w:color w:val="888888"/>
          <w:sz w:val="20"/>
          <w:szCs w:val="20"/>
        </w:rPr>
        <w:t xml:space="preserve">SMDC Dashboard Initiative  |  Risk Management Practicum  |  Milestone 11</w:t>
      </w:r>
    </w:p>
    <w:p>
      <w:pPr>
        <w:pBdr>
          <w:bottom w:val="single" w:color="2F5496" w:sz="6" w:space="1"/>
        </w:pBdr>
        <w:spacing w:after="120"/>
      </w:pPr>
      <w:r>
        <w:t xml:space="preserve"/>
      </w:r>
    </w:p>
    <w:p>
      <w:pPr>
        <w:shd w:fill="FFB3B3" w:val="clear"/>
        <w:spacing w:after="80"/>
        <w:ind w:left="360" w:right="360"/>
      </w:pPr>
      <w:r>
        <w:rPr>
          <w:rFonts w:ascii="Arial" w:cs="Arial" w:eastAsia="Arial" w:hAnsi="Arial"/>
          <w:i/>
          <w:iCs/>
          <w:color w:val="1F3864"/>
          <w:sz w:val="18"/>
          <w:szCs w:val="18"/>
        </w:rPr>
        <w:t xml:space="preserve">IMPORTANT: This guide is a practicum reference document designed to support learning objectives in the SMDC Risk Management Practicum. It is based on published HHS OCR guidance and HIPAA regulatory requirements as of 2025. Students should verify current OCR guidance and consult qualified legal counsel for any real-world incident response.</w:t>
      </w:r>
    </w:p>
    <w:p>
      <w:pPr>
        <w:spacing w:after="60"/>
      </w:pPr>
      <w:r>
        <w:t xml:space="preserve"/>
      </w:r>
    </w:p>
    <w:p>
      <w:pPr>
        <w:pStyle w:val="Heading1"/>
        <w:shd w:fill="2F5496" w:val="clear"/>
        <w:spacing w:after="120" w:before="200"/>
      </w:pPr>
      <w:r>
        <w:rPr>
          <w:rFonts w:ascii="Arial" w:cs="Arial" w:eastAsia="Arial" w:hAnsi="Arial"/>
          <w:b/>
          <w:bCs/>
          <w:color w:val="FFFFFF"/>
          <w:sz w:val="28"/>
          <w:szCs w:val="28"/>
        </w:rPr>
        <w:t xml:space="preserve">Why HIPAA Incident Response Is Different</w:t>
      </w:r>
    </w:p>
    <w:p>
      <w:pPr>
        <w:spacing w:after="100"/>
      </w:pPr>
      <w:r>
        <w:rPr>
          <w:rFonts w:ascii="Arial" w:cs="Arial" w:eastAsia="Arial" w:hAnsi="Arial"/>
          <w:sz w:val="20"/>
          <w:szCs w:val="20"/>
        </w:rPr>
        <w:t xml:space="preserve">A HIPAA breach is not just a technical failure — it is a legal event with defined notification obligations, strict timelines, and potential for significant financial penalty (average OCR settlement: $1.2M; maximum: $1.93M per violation category per year). The response must be both technically sound and legally guided from the first hour.</w:t>
      </w:r>
    </w:p>
    <w:p>
      <w:pPr>
        <w:spacing w:after="60"/>
      </w:pPr>
      <w:r>
        <w:t xml:space="preserve"/>
      </w:r>
    </w:p>
    <w:p>
      <w:pPr>
        <w:spacing w:after="100"/>
      </w:pPr>
      <w:r>
        <w:rPr>
          <w:rFonts w:ascii="Arial" w:cs="Arial" w:eastAsia="Arial" w:hAnsi="Arial"/>
          <w:sz w:val="20"/>
          <w:szCs w:val="20"/>
        </w:rPr>
        <w:t xml:space="preserve">The most common HIPAA incident response failure is delay — either in recognizing a breach has occurred, in engaging legal counsel, or in beginning the notification timeline. In the SMDC context, the most likely breach pathways are: unsecured API transmission (R-04), inadequate consent documentation (R-RV2), or unauthorized access via shared credentials (from the caregiver access workaround noted in M7).</w:t>
      </w:r>
    </w:p>
    <w:p>
      <w:pPr>
        <w:spacing w:after="60"/>
      </w:pPr>
      <w:r>
        <w:t xml:space="preserve"/>
      </w:r>
    </w:p>
    <w:p>
      <w:pPr>
        <w:pStyle w:val="Heading1"/>
        <w:shd w:fill="2F5496" w:val="clear"/>
        <w:spacing w:after="120" w:before="200"/>
      </w:pPr>
      <w:r>
        <w:rPr>
          <w:rFonts w:ascii="Arial" w:cs="Arial" w:eastAsia="Arial" w:hAnsi="Arial"/>
          <w:b/>
          <w:bCs/>
          <w:color w:val="FFFFFF"/>
          <w:sz w:val="28"/>
          <w:szCs w:val="28"/>
        </w:rPr>
        <w:t xml:space="preserve">Step 1: Breach Assessment — Is This a Reportable Breach?</w:t>
      </w:r>
    </w:p>
    <w:p>
      <w:pPr>
        <w:spacing w:after="100"/>
      </w:pPr>
      <w:r>
        <w:rPr>
          <w:rFonts w:ascii="Arial" w:cs="Arial" w:eastAsia="Arial" w:hAnsi="Arial"/>
          <w:sz w:val="20"/>
          <w:szCs w:val="20"/>
        </w:rPr>
        <w:t xml:space="preserve">Not every security incident is a reportable HIPAA breach. The first step is to determine whether the event meets the legal definition of a breach requiring notification.</w:t>
      </w:r>
    </w:p>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Determination Question</w:t>
            </w:r>
          </w:p>
        </w:tc>
        <w:tc>
          <w:tcPr>
            <w:tcW w:type="dxa" w:w="24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If YES</w:t>
            </w:r>
          </w:p>
        </w:tc>
        <w:tc>
          <w:tcPr>
            <w:tcW w:type="dxa" w:w="456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If NO</w:t>
            </w:r>
          </w:p>
        </w:tc>
      </w:tr>
      <w:tr>
        <w:tc>
          <w:tcPr>
            <w:tcW w:type="dxa" w:w="24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Was PHI involved (any individually identifiable health information)?</w:t>
            </w:r>
          </w:p>
        </w:tc>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Continue assessment</w:t>
            </w:r>
          </w:p>
        </w:tc>
        <w:tc>
          <w:tcPr>
            <w:tcW w:type="dxa" w:w="4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Not a HIPAA breach — may still be a security incident requiring internal response</w:t>
            </w:r>
          </w:p>
        </w:tc>
      </w:tr>
      <w:tr>
        <w:tc>
          <w:tcPr>
            <w:tcW w:type="dxa" w:w="24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Was the PHI accessed, acquired, used, or disclosed without authorization?</w:t>
            </w:r>
          </w:p>
        </w:tc>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Continue assessment — likely a breach</w:t>
            </w:r>
          </w:p>
        </w:tc>
        <w:tc>
          <w:tcPr>
            <w:tcW w:type="dxa" w:w="4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Monitor; document; may not be reportable breach</w:t>
            </w:r>
          </w:p>
        </w:tc>
      </w:tr>
      <w:tr>
        <w:tc>
          <w:tcPr>
            <w:tcW w:type="dxa" w:w="24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Does an exception apply? (workforce member incidental access; limited data set; good-faith mistake)</w:t>
            </w:r>
          </w:p>
        </w:tc>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Document the exception; not reportable breach</w:t>
            </w:r>
          </w:p>
        </w:tc>
        <w:tc>
          <w:tcPr>
            <w:tcW w:type="dxa" w:w="4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Continue — breach is presumed unless exception proven</w:t>
            </w:r>
          </w:p>
        </w:tc>
      </w:tr>
      <w:tr>
        <w:tc>
          <w:tcPr>
            <w:tcW w:type="dxa" w:w="24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Could the PHI be used to identify an individual?</w:t>
            </w:r>
          </w:p>
        </w:tc>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Reportable breach — proceed to notification</w:t>
            </w:r>
          </w:p>
        </w:tc>
        <w:tc>
          <w:tcPr>
            <w:tcW w:type="dxa" w:w="4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Not individually identifiable; may not be reportable</w:t>
            </w:r>
          </w:p>
        </w:tc>
      </w:tr>
      <w:tr>
        <w:tc>
          <w:tcPr>
            <w:tcW w:type="dxa" w:w="24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Was encryption or destruction applied that renders PHI unusable?</w:t>
            </w:r>
          </w:p>
        </w:tc>
        <w:tc>
          <w:tcPr>
            <w:tcW w:type="dxa" w:w="240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Safe harbor applies — not reportable breach</w:t>
            </w:r>
          </w:p>
        </w:tc>
        <w:tc>
          <w:tcPr>
            <w:tcW w:type="dxa" w:w="4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Reportable breach — proceed to notification timeline</w:t>
            </w:r>
          </w:p>
        </w:tc>
      </w:tr>
    </w:tbl>
    <w:p>
      <w:pPr>
        <w:spacing w:after="60"/>
      </w:pPr>
      <w:r>
        <w:t xml:space="preserve"/>
      </w:r>
    </w:p>
    <w:p>
      <w:pPr>
        <w:shd w:fill="FFF2CC" w:val="clear"/>
        <w:spacing w:after="80" w:before="80"/>
        <w:ind w:left="360" w:right="360"/>
      </w:pPr>
      <w:r>
        <w:rPr>
          <w:rFonts w:ascii="Arial" w:cs="Arial" w:eastAsia="Arial" w:hAnsi="Arial"/>
          <w:b w:val="false"/>
          <w:bCs w:val="false"/>
          <w:i/>
          <w:iCs/>
          <w:color w:val="1F3864"/>
          <w:sz w:val="20"/>
          <w:szCs w:val="20"/>
        </w:rPr>
        <w:t xml:space="preserve">SMDC team: if you are uncertain whether an event constitutes a reportable breach — treat it as reportable until legal counsel determines otherwise. The cost of over-reporting is inconvenience. The cost of under-reporting is enforcement action.</w:t>
      </w:r>
    </w:p>
    <w:p>
      <w:pPr>
        <w:spacing w:after="60"/>
      </w:pPr>
      <w:r>
        <w:t xml:space="preserve"/>
      </w:r>
    </w:p>
    <w:p>
      <w:pPr>
        <w:pStyle w:val="Heading1"/>
        <w:shd w:fill="2F5496" w:val="clear"/>
        <w:spacing w:after="120" w:before="200"/>
      </w:pPr>
      <w:r>
        <w:rPr>
          <w:rFonts w:ascii="Arial" w:cs="Arial" w:eastAsia="Arial" w:hAnsi="Arial"/>
          <w:b/>
          <w:bCs/>
          <w:color w:val="FFFFFF"/>
          <w:sz w:val="28"/>
          <w:szCs w:val="28"/>
        </w:rPr>
        <w:t xml:space="preserve">Step 2: Notification Timeline and Requirements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400"/>
        <w:gridCol w:w="2400"/>
        <w:gridCol w:w="2560"/>
      </w:tblGrid>
      <w:tr>
        <w:tc>
          <w:tcPr>
            <w:tcW w:type="dxa" w:w="20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Notification Type</w:t>
            </w:r>
          </w:p>
        </w:tc>
        <w:tc>
          <w:tcPr>
            <w:tcW w:type="dxa" w:w="24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Who Must Be Notified</w:t>
            </w:r>
          </w:p>
        </w:tc>
        <w:tc>
          <w:tcPr>
            <w:tcW w:type="dxa" w:w="24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Timeline</w:t>
            </w:r>
          </w:p>
        </w:tc>
        <w:tc>
          <w:tcPr>
            <w:tcW w:type="dxa" w:w="256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Method</w:t>
            </w:r>
          </w:p>
        </w:tc>
      </w:tr>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Internal leadership</w:t>
            </w:r>
          </w:p>
        </w:tc>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COO, Compliance Officer, Legal Counsel, Executive Sponsor</w:t>
            </w:r>
          </w:p>
        </w:tc>
        <w:tc>
          <w:tcPr>
            <w:tcW w:type="dxa" w:w="24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IMMEDIATE — within 2 hours of discovery</w:t>
            </w:r>
          </w:p>
        </w:tc>
        <w:tc>
          <w:tcPr>
            <w:tcW w:type="dxa" w:w="2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Direct call or page; Slack if call not possible</w:t>
            </w:r>
          </w:p>
        </w:tc>
      </w:tr>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Affected individuals (patients)</w:t>
            </w:r>
          </w:p>
        </w:tc>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All patients whose PHI was involved</w:t>
            </w:r>
          </w:p>
        </w:tc>
        <w:tc>
          <w:tcPr>
            <w:tcW w:type="dxa" w:w="24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Without unreasonable delay, no later than 60 days after breach discovery</w:t>
            </w:r>
          </w:p>
        </w:tc>
        <w:tc>
          <w:tcPr>
            <w:tcW w:type="dxa" w:w="2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Written notice mailed to last known address; plain-language required; SMDC contact info included</w:t>
            </w:r>
          </w:p>
        </w:tc>
      </w:tr>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OCR (HHS) — large breach</w:t>
            </w:r>
          </w:p>
        </w:tc>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Required if breach affects 500+ individuals in one state or jurisdiction</w:t>
            </w:r>
          </w:p>
        </w:tc>
        <w:tc>
          <w:tcPr>
            <w:tcW w:type="dxa" w:w="24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Without unreasonable delay, no later than 60 days after discovery</w:t>
            </w:r>
          </w:p>
        </w:tc>
        <w:tc>
          <w:tcPr>
            <w:tcW w:type="dxa" w:w="2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OCR Breach Reporting Portal at hhs.gov/ocr/breach/reporting</w:t>
            </w:r>
          </w:p>
        </w:tc>
      </w:tr>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OCR (HHS) — small breach</w:t>
            </w:r>
          </w:p>
        </w:tc>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Required if breach affects &lt;500 individuals</w:t>
            </w:r>
          </w:p>
        </w:tc>
        <w:tc>
          <w:tcPr>
            <w:tcW w:type="dxa" w:w="24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Within 60 days of the END of the calendar year in which the breach occurred (by March 1 next year)</w:t>
            </w:r>
          </w:p>
        </w:tc>
        <w:tc>
          <w:tcPr>
            <w:tcW w:type="dxa" w:w="2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OCR Breach Reporting Portal; annual summary log maintained</w:t>
            </w:r>
          </w:p>
        </w:tc>
      </w:tr>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Media notice</w:t>
            </w:r>
          </w:p>
        </w:tc>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Required if breach affects 500+ individuals in one state</w:t>
            </w:r>
          </w:p>
        </w:tc>
        <w:tc>
          <w:tcPr>
            <w:tcW w:type="dxa" w:w="24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Without unreasonable delay, no later than 60 days after breach discovery</w:t>
            </w:r>
          </w:p>
        </w:tc>
        <w:tc>
          <w:tcPr>
            <w:tcW w:type="dxa" w:w="2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Prominent media outlet in affected area; only after legal review of content</w:t>
            </w:r>
          </w:p>
        </w:tc>
      </w:tr>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Business Associate notification</w:t>
            </w:r>
          </w:p>
        </w:tc>
        <w:tc>
          <w:tcPr>
            <w:tcW w:type="dxa" w:w="24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If BA caused or discovered the breach</w:t>
            </w:r>
          </w:p>
        </w:tc>
        <w:tc>
          <w:tcPr>
            <w:tcW w:type="dxa" w:w="240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Within 60 days of discovery, or per BA Agreement timeline</w:t>
            </w:r>
          </w:p>
        </w:tc>
        <w:tc>
          <w:tcPr>
            <w:tcW w:type="dxa" w:w="25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Written notice per BAA terms; coordinate with Legal</w:t>
            </w:r>
          </w:p>
        </w:tc>
      </w:tr>
    </w:tbl>
    <w:p>
      <w:pPr>
        <w:spacing w:after="60"/>
      </w:pPr>
      <w:r>
        <w:t xml:space="preserve"/>
      </w:r>
    </w:p>
    <w:p>
      <w:pPr>
        <w:spacing w:after="100"/>
      </w:pPr>
      <w:r>
        <w:rPr>
          <w:rFonts w:ascii="Arial" w:cs="Arial" w:eastAsia="Arial" w:hAnsi="Arial"/>
          <w:i/>
          <w:iCs/>
          <w:sz w:val="20"/>
          <w:szCs w:val="20"/>
        </w:rPr>
        <w:t xml:space="preserve">Critical timing note: The 60-day clock starts at the date of DISCOVERY of the breach — not the date it occurred. If the breach happened in January but was discovered in March, the clock starts in March. This is why documentation of discovery date is the first action in CP-02.</w:t>
      </w:r>
    </w:p>
    <w:p>
      <w:pPr>
        <w:spacing w:after="60"/>
      </w:pPr>
      <w:r>
        <w:t xml:space="preserve"/>
      </w:r>
    </w:p>
    <w:p>
      <w:pPr>
        <w:pStyle w:val="Heading1"/>
        <w:shd w:fill="2F5496" w:val="clear"/>
        <w:spacing w:after="120" w:before="200"/>
      </w:pPr>
      <w:r>
        <w:rPr>
          <w:rFonts w:ascii="Arial" w:cs="Arial" w:eastAsia="Arial" w:hAnsi="Arial"/>
          <w:b/>
          <w:bCs/>
          <w:color w:val="FFFFFF"/>
          <w:sz w:val="28"/>
          <w:szCs w:val="28"/>
        </w:rPr>
        <w:t xml:space="preserve">Step 3: Content Requirements for Patient Notification</w:t>
      </w:r>
    </w:p>
    <w:p>
      <w:pPr>
        <w:spacing w:after="100"/>
      </w:pPr>
      <w:r>
        <w:rPr>
          <w:rFonts w:ascii="Arial" w:cs="Arial" w:eastAsia="Arial" w:hAnsi="Arial"/>
          <w:sz w:val="20"/>
          <w:szCs w:val="20"/>
        </w:rPr>
        <w:t xml:space="preserve">The written notice to affected individuals must include all of the following:</w:t>
      </w:r>
    </w:p>
    <w:p>
      <w:pPr>
        <w:pStyle w:val="ListParagraph"/>
        <w:numPr>
          <w:ilvl w:val="0"/>
          <w:numId w:val="2"/>
        </w:numPr>
        <w:spacing w:after="80"/>
      </w:pPr>
      <w:r>
        <w:rPr>
          <w:rFonts w:ascii="Arial" w:cs="Arial" w:eastAsia="Arial" w:hAnsi="Arial"/>
          <w:sz w:val="20"/>
          <w:szCs w:val="20"/>
        </w:rPr>
        <w:t xml:space="preserve">A brief description of what happened, including the date of the breach and the date of discovery.</w:t>
      </w:r>
    </w:p>
    <w:p>
      <w:pPr>
        <w:pStyle w:val="ListParagraph"/>
        <w:numPr>
          <w:ilvl w:val="0"/>
          <w:numId w:val="2"/>
        </w:numPr>
        <w:spacing w:after="80"/>
      </w:pPr>
      <w:r>
        <w:rPr>
          <w:rFonts w:ascii="Arial" w:cs="Arial" w:eastAsia="Arial" w:hAnsi="Arial"/>
          <w:sz w:val="20"/>
          <w:szCs w:val="20"/>
        </w:rPr>
        <w:t xml:space="preserve">A description of the types of Unsecured PHI involved (name, social security number, date of birth, address, medical record number, health plan beneficiary number, financial information, etc.).</w:t>
      </w:r>
    </w:p>
    <w:p>
      <w:pPr>
        <w:pStyle w:val="ListParagraph"/>
        <w:numPr>
          <w:ilvl w:val="0"/>
          <w:numId w:val="2"/>
        </w:numPr>
        <w:spacing w:after="80"/>
      </w:pPr>
      <w:r>
        <w:rPr>
          <w:rFonts w:ascii="Arial" w:cs="Arial" w:eastAsia="Arial" w:hAnsi="Arial"/>
          <w:sz w:val="20"/>
          <w:szCs w:val="20"/>
        </w:rPr>
        <w:t xml:space="preserve">Steps patients should take to protect themselves from potential harm.</w:t>
      </w:r>
    </w:p>
    <w:p>
      <w:pPr>
        <w:pStyle w:val="ListParagraph"/>
        <w:numPr>
          <w:ilvl w:val="0"/>
          <w:numId w:val="2"/>
        </w:numPr>
        <w:spacing w:after="80"/>
      </w:pPr>
      <w:r>
        <w:rPr>
          <w:rFonts w:ascii="Arial" w:cs="Arial" w:eastAsia="Arial" w:hAnsi="Arial"/>
          <w:sz w:val="20"/>
          <w:szCs w:val="20"/>
        </w:rPr>
        <w:t xml:space="preserve">A brief description of what the covered entity is doing to investigate the breach, mitigate harm, and protect against further breaches.</w:t>
      </w:r>
    </w:p>
    <w:p>
      <w:pPr>
        <w:pStyle w:val="ListParagraph"/>
        <w:numPr>
          <w:ilvl w:val="0"/>
          <w:numId w:val="2"/>
        </w:numPr>
        <w:spacing w:after="80"/>
      </w:pPr>
      <w:r>
        <w:rPr>
          <w:rFonts w:ascii="Arial" w:cs="Arial" w:eastAsia="Arial" w:hAnsi="Arial"/>
          <w:sz w:val="20"/>
          <w:szCs w:val="20"/>
        </w:rPr>
        <w:t xml:space="preserve">Contact information for individuals to ask questions or learn additional information, including a toll-free telephone number, email address, website, or postal address.</w:t>
      </w:r>
    </w:p>
    <w:p>
      <w:pPr>
        <w:spacing w:after="60"/>
      </w:pPr>
      <w:r>
        <w:t xml:space="preserve"/>
      </w:r>
    </w:p>
    <w:p>
      <w:pPr>
        <w:shd w:fill="FFE4EE" w:val="clear"/>
        <w:spacing w:after="80" w:before="80"/>
        <w:ind w:left="360" w:right="360"/>
      </w:pPr>
      <w:r>
        <w:rPr>
          <w:rFonts w:ascii="Arial" w:cs="Arial" w:eastAsia="Arial" w:hAnsi="Arial"/>
          <w:b w:val="false"/>
          <w:bCs w:val="false"/>
          <w:i/>
          <w:iCs/>
          <w:color w:val="1F3864"/>
          <w:sz w:val="20"/>
          <w:szCs w:val="20"/>
        </w:rPr>
        <w:t xml:space="preserve">Plain-language requirement: Patient notification letters must be written at a reading level accessible to the patient population. For SMDC's multilingual population, this means providing notification in Spanish and other priority languages used in the target geography. Failure to provide accessible notification is itself a compliance gap.</w:t>
      </w:r>
    </w:p>
    <w:p>
      <w:pPr>
        <w:spacing w:after="60"/>
      </w:pPr>
      <w:r>
        <w:t xml:space="preserve"/>
      </w:r>
    </w:p>
    <w:p>
      <w:pPr>
        <w:pStyle w:val="Heading1"/>
        <w:shd w:fill="2F5496" w:val="clear"/>
        <w:spacing w:after="120" w:before="200"/>
      </w:pPr>
      <w:r>
        <w:rPr>
          <w:rFonts w:ascii="Arial" w:cs="Arial" w:eastAsia="Arial" w:hAnsi="Arial"/>
          <w:b/>
          <w:bCs/>
          <w:color w:val="FFFFFF"/>
          <w:sz w:val="28"/>
          <w:szCs w:val="28"/>
        </w:rPr>
        <w:t xml:space="preserve">Step 4: SMDC-Specific Breach Risk Factors</w:t>
      </w:r>
    </w:p>
    <w:p>
      <w:pPr>
        <w:spacing w:after="100"/>
      </w:pPr>
      <w:r>
        <w:rPr>
          <w:rFonts w:ascii="Arial" w:cs="Arial" w:eastAsia="Arial" w:hAnsi="Arial"/>
          <w:sz w:val="20"/>
          <w:szCs w:val="20"/>
        </w:rPr>
        <w:t xml:space="preserve">These factors from the SMDC project specifically shape how a breach would unfold and what pre-incident steps reduce both likelihood and consequence.</w:t>
      </w:r>
    </w:p>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CCCCCC" w:sz="1"/>
              <w:left w:val="single" w:color="CCCCCC" w:sz="1"/>
              <w:bottom w:val="single" w:color="CCCCCC" w:sz="1"/>
              <w:right w:val="single" w:color="CCCCCC" w:sz="1"/>
            </w:tcBorders>
            <w:shd w:fill="2F5496"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SMDC Risk Factor</w:t>
            </w:r>
          </w:p>
        </w:tc>
        <w:tc>
          <w:tcPr>
            <w:tcW w:type="dxa" w:w="3480"/>
            <w:tcBorders>
              <w:top w:val="single" w:color="CCCCCC" w:sz="1"/>
              <w:left w:val="single" w:color="CCCCCC" w:sz="1"/>
              <w:bottom w:val="single" w:color="CCCCCC" w:sz="1"/>
              <w:right w:val="single" w:color="CCCCCC" w:sz="1"/>
            </w:tcBorders>
            <w:shd w:fill="2F5496"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HIPAA Implication</w:t>
            </w:r>
          </w:p>
        </w:tc>
        <w:tc>
          <w:tcPr>
            <w:tcW w:type="dxa" w:w="3480"/>
            <w:tcBorders>
              <w:top w:val="single" w:color="CCCCCC" w:sz="1"/>
              <w:left w:val="single" w:color="CCCCCC" w:sz="1"/>
              <w:bottom w:val="single" w:color="CCCCCC" w:sz="1"/>
              <w:right w:val="single" w:color="CCCCCC" w:sz="1"/>
            </w:tcBorders>
            <w:shd w:fill="2F5496"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Pre-Incident Mitigation</w:t>
            </w:r>
          </w:p>
        </w:tc>
      </w:tr>
      <w:tr>
        <w:tc>
          <w:tcPr>
            <w:tcW w:type="dxa" w:w="240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Epic EHR API integration — PHI transmitted via API</w:t>
            </w:r>
          </w:p>
        </w:tc>
        <w:tc>
          <w:tcPr>
            <w:tcW w:type="dxa" w:w="34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API communication must be encrypted end-to-end; access tokens must be rotated per EHR BAA</w:t>
            </w:r>
          </w:p>
        </w:tc>
        <w:tc>
          <w:tcPr>
            <w:tcW w:type="dxa" w:w="34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HIPAA security assessment must cover API encryption; BAA with Epic must address data in transit</w:t>
            </w:r>
          </w:p>
        </w:tc>
      </w:tr>
      <w:tr>
        <w:tc>
          <w:tcPr>
            <w:tcW w:type="dxa" w:w="240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Patient wearable device data sync (Withings)</w:t>
            </w:r>
          </w:p>
        </w:tc>
        <w:tc>
          <w:tcPr>
            <w:tcW w:type="dxa" w:w="34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Wearable data constitutes PHI if linked to individual identity; sync pipeline must be secured</w:t>
            </w:r>
          </w:p>
        </w:tc>
        <w:tc>
          <w:tcPr>
            <w:tcW w:type="dxa" w:w="34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Verify Withings BAA; confirm data minimization in pipeline; audit sync logs monthly</w:t>
            </w:r>
          </w:p>
        </w:tc>
      </w:tr>
      <w:tr>
        <w:tc>
          <w:tcPr>
            <w:tcW w:type="dxa" w:w="240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Pilot patient population includes immigrant and low-income users</w:t>
            </w:r>
          </w:p>
        </w:tc>
        <w:tc>
          <w:tcPr>
            <w:tcW w:type="dxa" w:w="34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Higher vulnerability to data harm; lower ability to navigate breach notification process</w:t>
            </w:r>
          </w:p>
        </w:tc>
        <w:tc>
          <w:tcPr>
            <w:tcW w:type="dxa" w:w="34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Plain-language breach notification prepared in advance; CHW designated for breach notification support</w:t>
            </w:r>
          </w:p>
        </w:tc>
      </w:tr>
      <w:tr>
        <w:tc>
          <w:tcPr>
            <w:tcW w:type="dxa" w:w="240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Consent form comprehension gap (from M7/M8)</w:t>
            </w:r>
          </w:p>
        </w:tc>
        <w:tc>
          <w:tcPr>
            <w:tcW w:type="dxa" w:w="34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Inadequate consent = inadequate authorization = potential breach of data use agreements</w:t>
            </w:r>
          </w:p>
        </w:tc>
        <w:tc>
          <w:tcPr>
            <w:tcW w:type="dxa" w:w="34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Consent redesign (C-NEW1) directly reduces this risk; verbal confirmation ensures authorization</w:t>
            </w:r>
          </w:p>
        </w:tc>
      </w:tr>
      <w:tr>
        <w:tc>
          <w:tcPr>
            <w:tcW w:type="dxa" w:w="240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No dedicated security role on staff (W4 weakness)</w:t>
            </w:r>
          </w:p>
        </w:tc>
        <w:tc>
          <w:tcPr>
            <w:tcW w:type="dxa" w:w="34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Distributed compliance expertise = gaps in ongoing monitoring and incident detection</w:t>
            </w:r>
          </w:p>
        </w:tc>
        <w:tc>
          <w:tcPr>
            <w:tcW w:type="dxa" w:w="34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Contract HIPAA security consultant; commission annual security risk analysis; automate access logging</w:t>
            </w:r>
          </w:p>
        </w:tc>
      </w:tr>
      <w:tr>
        <w:tc>
          <w:tcPr>
            <w:tcW w:type="dxa" w:w="240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Dashboard accessible via web browser — no MFA currently</w:t>
            </w:r>
          </w:p>
        </w:tc>
        <w:tc>
          <w:tcPr>
            <w:tcW w:type="dxa" w:w="34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Browser-based access without MFA increases unauthorized access risk</w:t>
            </w:r>
          </w:p>
        </w:tc>
        <w:tc>
          <w:tcPr>
            <w:tcW w:type="dxa" w:w="34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Implement MFA before pilot launch; session timeout at 15 min inactivity; access logging per user</w:t>
            </w:r>
          </w:p>
        </w:tc>
      </w:tr>
    </w:tbl>
    <w:p>
      <w:pPr>
        <w:spacing w:after="60"/>
      </w:pPr>
      <w:r>
        <w:t xml:space="preserve"/>
      </w:r>
    </w:p>
    <w:p>
      <w:pPr>
        <w:pStyle w:val="Heading1"/>
        <w:shd w:fill="2F5496" w:val="clear"/>
        <w:spacing w:after="120" w:before="200"/>
      </w:pPr>
      <w:r>
        <w:rPr>
          <w:rFonts w:ascii="Arial" w:cs="Arial" w:eastAsia="Arial" w:hAnsi="Arial"/>
          <w:b/>
          <w:bCs/>
          <w:color w:val="FFFFFF"/>
          <w:sz w:val="28"/>
          <w:szCs w:val="28"/>
        </w:rPr>
        <w:t xml:space="preserve">Step 5: What NOT to Do</w:t>
      </w:r>
    </w:p>
    <w:p>
      <w:pPr>
        <w:pStyle w:val="ListParagraph"/>
        <w:numPr>
          <w:ilvl w:val="0"/>
          <w:numId w:val="3"/>
        </w:numPr>
        <w:spacing w:after="80"/>
      </w:pPr>
      <w:r>
        <w:rPr>
          <w:rFonts w:ascii="Arial" w:cs="Arial" w:eastAsia="Arial" w:hAnsi="Arial"/>
          <w:sz w:val="20"/>
          <w:szCs w:val="20"/>
        </w:rPr>
        <w:t xml:space="preserve">Do NOT delete or alter any logs, records, or data related to the incident — this constitutes evidence tampering.</w:t>
      </w:r>
    </w:p>
    <w:p>
      <w:pPr>
        <w:pStyle w:val="ListParagraph"/>
        <w:numPr>
          <w:ilvl w:val="0"/>
          <w:numId w:val="3"/>
        </w:numPr>
        <w:spacing w:after="80"/>
      </w:pPr>
      <w:r>
        <w:rPr>
          <w:rFonts w:ascii="Arial" w:cs="Arial" w:eastAsia="Arial" w:hAnsi="Arial"/>
          <w:sz w:val="20"/>
          <w:szCs w:val="20"/>
        </w:rPr>
        <w:t xml:space="preserve">Do NOT communicate externally about the incident without legal review — even a casual statement to a community partner can create legal exposure.</w:t>
      </w:r>
    </w:p>
    <w:p>
      <w:pPr>
        <w:pStyle w:val="ListParagraph"/>
        <w:numPr>
          <w:ilvl w:val="0"/>
          <w:numId w:val="3"/>
        </w:numPr>
        <w:spacing w:after="80"/>
      </w:pPr>
      <w:r>
        <w:rPr>
          <w:rFonts w:ascii="Arial" w:cs="Arial" w:eastAsia="Arial" w:hAnsi="Arial"/>
          <w:sz w:val="20"/>
          <w:szCs w:val="20"/>
        </w:rPr>
        <w:t xml:space="preserve">Do NOT assume that because consent was signed, authorization was given for the specific use that caused the breach.</w:t>
      </w:r>
    </w:p>
    <w:p>
      <w:pPr>
        <w:pStyle w:val="ListParagraph"/>
        <w:numPr>
          <w:ilvl w:val="0"/>
          <w:numId w:val="3"/>
        </w:numPr>
        <w:spacing w:after="80"/>
      </w:pPr>
      <w:r>
        <w:rPr>
          <w:rFonts w:ascii="Arial" w:cs="Arial" w:eastAsia="Arial" w:hAnsi="Arial"/>
          <w:sz w:val="20"/>
          <w:szCs w:val="20"/>
        </w:rPr>
        <w:t xml:space="preserve">Do NOT wait to engage legal counsel until you are certain it is a breach — engage immediately when suspected.</w:t>
      </w:r>
    </w:p>
    <w:p>
      <w:pPr>
        <w:pStyle w:val="ListParagraph"/>
        <w:numPr>
          <w:ilvl w:val="0"/>
          <w:numId w:val="3"/>
        </w:numPr>
        <w:spacing w:after="80"/>
      </w:pPr>
      <w:r>
        <w:rPr>
          <w:rFonts w:ascii="Arial" w:cs="Arial" w:eastAsia="Arial" w:hAnsi="Arial"/>
          <w:sz w:val="20"/>
          <w:szCs w:val="20"/>
        </w:rPr>
        <w:t xml:space="preserve">Do NOT issue a public apology or acknowledgment of fault without legal review of the specific language.</w:t>
      </w:r>
    </w:p>
    <w:p>
      <w:pPr>
        <w:pStyle w:val="ListParagraph"/>
        <w:numPr>
          <w:ilvl w:val="0"/>
          <w:numId w:val="3"/>
        </w:numPr>
        <w:spacing w:after="80"/>
      </w:pPr>
      <w:r>
        <w:rPr>
          <w:rFonts w:ascii="Arial" w:cs="Arial" w:eastAsia="Arial" w:hAnsi="Arial"/>
          <w:sz w:val="20"/>
          <w:szCs w:val="20"/>
        </w:rPr>
        <w:t xml:space="preserve">Do NOT close the incident until notification compliance is confirmed — OCR can follow up years later.</w:t>
      </w:r>
    </w:p>
    <w:p>
      <w:pPr>
        <w:spacing w:after="60"/>
      </w:pPr>
      <w:r>
        <w:t xml:space="preserve"/>
      </w:r>
    </w:p>
    <w:p>
      <w:pPr>
        <w:pStyle w:val="Heading1"/>
        <w:shd w:fill="2F5496" w:val="clear"/>
        <w:spacing w:after="120" w:before="200"/>
      </w:pPr>
      <w:r>
        <w:rPr>
          <w:rFonts w:ascii="Arial" w:cs="Arial" w:eastAsia="Arial" w:hAnsi="Arial"/>
          <w:b/>
          <w:bCs/>
          <w:color w:val="FFFFFF"/>
          <w:sz w:val="28"/>
          <w:szCs w:val="28"/>
        </w:rPr>
        <w:t xml:space="preserve">Post-Incident Requirements</w:t>
      </w:r>
    </w:p>
    <w:p>
      <w:pPr>
        <w:pStyle w:val="ListParagraph"/>
        <w:numPr>
          <w:ilvl w:val="0"/>
          <w:numId w:val="3"/>
        </w:numPr>
        <w:spacing w:after="80"/>
      </w:pPr>
      <w:r>
        <w:rPr>
          <w:rFonts w:ascii="Arial" w:cs="Arial" w:eastAsia="Arial" w:hAnsi="Arial"/>
          <w:sz w:val="20"/>
          <w:szCs w:val="20"/>
        </w:rPr>
        <w:t xml:space="preserve">Security risk analysis update: HIPAA requires a security risk analysis after any significant breach. This must be documented.</w:t>
      </w:r>
    </w:p>
    <w:p>
      <w:pPr>
        <w:pStyle w:val="ListParagraph"/>
        <w:numPr>
          <w:ilvl w:val="0"/>
          <w:numId w:val="3"/>
        </w:numPr>
        <w:spacing w:after="80"/>
      </w:pPr>
      <w:r>
        <w:rPr>
          <w:rFonts w:ascii="Arial" w:cs="Arial" w:eastAsia="Arial" w:hAnsi="Arial"/>
          <w:sz w:val="20"/>
          <w:szCs w:val="20"/>
        </w:rPr>
        <w:t xml:space="preserve">Policy update: if the breach resulted from a policy gap (e.g., no MFA), the policy must be updated and staff retrained.</w:t>
      </w:r>
    </w:p>
    <w:p>
      <w:pPr>
        <w:pStyle w:val="ListParagraph"/>
        <w:numPr>
          <w:ilvl w:val="0"/>
          <w:numId w:val="3"/>
        </w:numPr>
        <w:spacing w:after="80"/>
      </w:pPr>
      <w:r>
        <w:rPr>
          <w:rFonts w:ascii="Arial" w:cs="Arial" w:eastAsia="Arial" w:hAnsi="Arial"/>
          <w:sz w:val="20"/>
          <w:szCs w:val="20"/>
        </w:rPr>
        <w:t xml:space="preserve">BAA review: if a Business Associate was involved, review the BAA and consider whether contract terms need to be updated.</w:t>
      </w:r>
    </w:p>
    <w:p>
      <w:pPr>
        <w:pStyle w:val="ListParagraph"/>
        <w:numPr>
          <w:ilvl w:val="0"/>
          <w:numId w:val="3"/>
        </w:numPr>
        <w:spacing w:after="80"/>
      </w:pPr>
      <w:r>
        <w:rPr>
          <w:rFonts w:ascii="Arial" w:cs="Arial" w:eastAsia="Arial" w:hAnsi="Arial"/>
          <w:sz w:val="20"/>
          <w:szCs w:val="20"/>
        </w:rPr>
        <w:t xml:space="preserve">OCR may conduct a compliance review following a breach report — maintain all incident documentation for a minimum of 6 years.</w:t>
      </w:r>
    </w:p>
    <w:p>
      <w:pPr>
        <w:pStyle w:val="ListParagraph"/>
        <w:numPr>
          <w:ilvl w:val="0"/>
          <w:numId w:val="3"/>
        </w:numPr>
        <w:spacing w:after="80"/>
      </w:pPr>
      <w:r>
        <w:rPr>
          <w:rFonts w:ascii="Arial" w:cs="Arial" w:eastAsia="Arial" w:hAnsi="Arial"/>
          <w:sz w:val="20"/>
          <w:szCs w:val="20"/>
        </w:rPr>
        <w:t xml:space="preserve">Voluntary reporting of breach response efforts to OCR can reduce penalty exposure — document all corrective actions taken.</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o"/>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00"/>
      <w:outlineLvl w:val="0"/>
    </w:pPr>
    <w:rPr>
      <w:rFonts w:ascii="Arial" w:cs="Arial" w:eastAsia="Arial" w:hAnsi="Arial"/>
      <w:b/>
      <w:bCs/>
      <w:color w:val="FFFFFF"/>
      <w:sz w:val="28"/>
      <w:szCs w:val="28"/>
    </w:rPr>
  </w:style>
  <w:style w:type="paragraph" w:styleId="Heading2">
    <w:name w:val="Heading 2"/>
    <w:basedOn w:val="Normal"/>
    <w:next w:val="Normal"/>
    <w:qFormat/>
    <w:pPr>
      <w:spacing w:after="80" w:before="160"/>
      <w:outlineLvl w:val="1"/>
    </w:pPr>
    <w:rPr>
      <w:rFonts w:ascii="Arial" w:cs="Arial" w:eastAsia="Arial" w:hAnsi="Arial"/>
      <w:b/>
      <w:bCs/>
      <w:color w:val="1F3864"/>
      <w:sz w:val="22"/>
      <w:szCs w:val="22"/>
    </w:rPr>
  </w:style>
  <w:style w:type="paragraph" w:styleId="Heading3">
    <w:name w:val="Heading 3"/>
    <w:basedOn w:val="Normal"/>
    <w:next w:val="Normal"/>
    <w:qFormat/>
    <w:pPr>
      <w:spacing w:after="60" w:before="120"/>
      <w:outlineLvl w:val="2"/>
    </w:pPr>
    <w:rPr>
      <w:rFonts w:ascii="Arial" w:cs="Arial" w:eastAsia="Arial" w:hAnsi="Arial"/>
      <w:b/>
      <w:bCs/>
      <w:color w:val="2F5496"/>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2026-06-24T21:20:28.259Z</dcterms:created>
  <dcterms:modified xsi:type="dcterms:W3CDTF">2026-06-24T21:20:28.259Z</dcterms:modified>
</cp:coreProperties>
</file>

<file path=docProps/custom.xml><?xml version="1.0" encoding="utf-8"?>
<Properties xmlns="http://schemas.openxmlformats.org/officeDocument/2006/custom-properties" xmlns:vt="http://schemas.openxmlformats.org/officeDocument/2006/docPropsVTypes"/>
</file>