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1200"/>
      </w:pPr>
      <w:r>
        <w:rPr>
          <w:rFonts w:ascii="Arial" w:cs="Arial" w:eastAsia="Arial" w:hAnsi="Arial"/>
          <w:b/>
          <w:bCs/>
          <w:color w:val="1F3864"/>
          <w:sz w:val="52"/>
          <w:szCs w:val="52"/>
        </w:rPr>
        <w:t xml:space="preserve">Contingency Planning Guide</w:t>
      </w:r>
    </w:p>
    <w:p>
      <w:pPr>
        <w:spacing w:after="160"/>
      </w:pPr>
      <w:r>
        <w:rPr>
          <w:rFonts w:ascii="Arial" w:cs="Arial" w:eastAsia="Arial" w:hAnsi="Arial"/>
          <w:color w:val="2F5496"/>
          <w:sz w:val="26"/>
          <w:szCs w:val="26"/>
        </w:rPr>
        <w:t xml:space="preserve">Milestone 11 — Appendix Reference</w:t>
      </w:r>
    </w:p>
    <w:p>
      <w:pPr>
        <w:spacing w:after="160"/>
      </w:pPr>
      <w:r>
        <w:rPr>
          <w:rFonts w:ascii="Arial" w:cs="Arial" w:eastAsia="Arial" w:hAnsi="Arial"/>
          <w:color w:val="888888"/>
          <w:sz w:val="20"/>
          <w:szCs w:val="20"/>
        </w:rPr>
        <w:t xml:space="preserve">SMDC Dashboard Initiative  |  Risk Management Practicum  |  Milestone 11</w:t>
      </w:r>
    </w:p>
    <w:p>
      <w:pPr>
        <w:pBdr>
          <w:bottom w:val="single" w:color="2F5496" w:sz="6" w:space="1"/>
        </w:pBdr>
        <w:spacing w:after="120"/>
      </w:pPr>
      <w:r>
        <w:t xml:space="preserve"/>
      </w:r>
    </w:p>
    <w:p>
      <w:pPr>
        <w:pStyle w:val="Heading1"/>
        <w:shd w:fill="2F5496" w:val="clear"/>
        <w:spacing w:after="120" w:before="200"/>
      </w:pPr>
      <w:r>
        <w:rPr>
          <w:rFonts w:ascii="Arial" w:cs="Arial" w:eastAsia="Arial" w:hAnsi="Arial"/>
          <w:b/>
          <w:bCs/>
          <w:color w:val="FFFFFF"/>
          <w:sz w:val="28"/>
          <w:szCs w:val="28"/>
        </w:rPr>
        <w:t xml:space="preserve">What Contingency Planning Is — and Is Not</w:t>
      </w:r>
    </w:p>
    <w:p>
      <w:pPr>
        <w:spacing w:after="100"/>
      </w:pPr>
      <w:r>
        <w:rPr>
          <w:rFonts w:ascii="Arial" w:cs="Arial" w:eastAsia="Arial" w:hAnsi="Arial"/>
          <w:sz w:val="20"/>
          <w:szCs w:val="20"/>
        </w:rPr>
        <w:t xml:space="preserve">Contingency planning is not risk avoidance. It is the professional acknowledgment that some risks will occur despite best controls, and that the team's response to those events determines whether they become manageable incidents or organizational crises.</w:t>
      </w:r>
    </w:p>
    <w:p>
      <w:pPr>
        <w:spacing w:after="60"/>
      </w:pPr>
      <w:r>
        <w:t xml:space="preserve"/>
      </w:r>
    </w:p>
    <w:p>
      <w:pPr>
        <w:spacing w:after="100"/>
      </w:pPr>
      <w:r>
        <w:rPr>
          <w:rFonts w:ascii="Arial" w:cs="Arial" w:eastAsia="Arial" w:hAnsi="Arial"/>
          <w:sz w:val="20"/>
          <w:szCs w:val="20"/>
        </w:rPr>
        <w:t xml:space="preserve">A contingency plan is not a promise that the risk won't happen. It is a pre-written, role-specific response protocol that allows the team to act quickly, clearly, and accountably when it does.</w:t>
      </w:r>
    </w:p>
    <w:p>
      <w:pPr>
        <w:spacing w:after="60"/>
      </w:pPr>
      <w:r>
        <w:t xml:space="preserve"/>
      </w:r>
    </w:p>
    <w:p>
      <w:pPr>
        <w:shd w:fill="FFF2CC" w:val="clear"/>
        <w:spacing w:after="80" w:before="80"/>
        <w:ind w:left="360" w:right="360"/>
      </w:pPr>
      <w:r>
        <w:rPr>
          <w:rFonts w:ascii="Arial" w:cs="Arial" w:eastAsia="Arial" w:hAnsi="Arial"/>
          <w:b w:val="false"/>
          <w:bCs w:val="false"/>
          <w:i/>
          <w:iCs/>
          <w:color w:val="1F3864"/>
          <w:sz w:val="20"/>
          <w:szCs w:val="20"/>
        </w:rPr>
        <w:t xml:space="preserve">The value of a contingency plan is not in the document — it is in the conversation that produces it. Teams that write contingency plans together know who owns what, what the triggers are, and what 'calm' looks like under pressure. That shared understanding is the actual risk reduction.</w:t>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The Six Required Elements — Deep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3480"/>
        <w:gridCol w:w="3880"/>
      </w:tblGrid>
      <w:tr>
        <w:tc>
          <w:tcPr>
            <w:tcW w:type="dxa" w:w="200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Element</w:t>
            </w:r>
          </w:p>
        </w:tc>
        <w:tc>
          <w:tcPr>
            <w:tcW w:type="dxa" w:w="34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Definition and Purpose</w:t>
            </w:r>
          </w:p>
        </w:tc>
        <w:tc>
          <w:tcPr>
            <w:tcW w:type="dxa" w:w="3880"/>
            <w:tcBorders>
              <w:top w:val="single" w:color="CCCCCC" w:sz="1"/>
              <w:left w:val="single" w:color="CCCCCC" w:sz="1"/>
              <w:bottom w:val="single" w:color="CCCCCC" w:sz="1"/>
              <w:right w:val="single" w:color="CCCCCC" w:sz="1"/>
            </w:tcBorders>
            <w:shd w:fill="1F3864"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What Makes It Weak (Common Errors)</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TRIGGER CONDITION</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The specific, observable signal that activates this plan. Must be measurable and unambiguous so any team member can recognize it without judgment call.</w:t>
            </w:r>
          </w:p>
        </w:tc>
        <w:tc>
          <w:tcPr>
            <w:tcW w:type="dxa" w:w="388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Vague: 'if alerts aren't working.' Specific: 'Alert response rate below 70% for two consecutive weekly surveys, OR any single missed critical alert documented by Clinical Director.'</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IMMEDIATE RESPONSE</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Actions that must begin within 1–24 hours of trigger activation. Ordered by priority. Includes what to PAUSE, not just what to start.</w:t>
            </w:r>
          </w:p>
        </w:tc>
        <w:tc>
          <w:tcPr>
            <w:tcW w:type="dxa" w:w="388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Generic: 'fix the problem.' Specific: '1. Pause all new alert deployments. 2. Run calibration protocol against 7-day data. 3. Notify Clinical Director within 4 hours with incident summary.'</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ROLES &amp; RESPONSIBILITIES</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One named OWNER per scenario (not a team). Named roles for LEAD, SUPPORT, and ESCALATION. Clear about who does NOT get involved yet.</w:t>
            </w:r>
          </w:p>
        </w:tc>
        <w:tc>
          <w:tcPr>
            <w:tcW w:type="dxa" w:w="388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'The team will handle it.' Instead: 'OWNER: Clinical Informatics Lead. LEAD: Clinical Director + Lead Engineer. DO NOT involve external partners until Tier 2 confirmation.'</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COMMUNICATION PLAN</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Who gets notified, by whom, using which channel, within what time window, and what specific information is shared. Includes what NOT to say.</w:t>
            </w:r>
          </w:p>
        </w:tc>
        <w:tc>
          <w:tcPr>
            <w:tcW w:type="dxa" w:w="388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'Notify stakeholders.' Instead: '(1) Internal Slack within 2h with de-identified incident summary. (2) Clinical Director to attendings within 4h. (3) NO patient or external communication unless COO authorizes.'</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RECOVERY PATH</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How the team stabilizes, resolves, learns, and prevents recurrence. Includes a process update requirement after every activation.</w:t>
            </w:r>
          </w:p>
        </w:tc>
        <w:tc>
          <w:tcPr>
            <w:tcW w:type="dxa" w:w="388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'Resolve the issue.' Instead: 'Root cause analysis within 48h. If architectural: sprint escalation. If calibration: recalibrate + document. Post-incident review at next sprint retrospective. Required.'</w:t>
            </w:r>
          </w:p>
        </w:tc>
      </w:tr>
      <w:tr>
        <w:tc>
          <w:tcPr>
            <w:tcW w:type="dxa" w:w="20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ESCALATION THRESHOLD</w:t>
            </w:r>
          </w:p>
        </w:tc>
        <w:tc>
          <w:tcPr>
            <w:tcW w:type="dxa" w:w="34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The specific condition that moves this from team-level response to leadership, legal, or regulatory response. Named tier (T1/T2/T3) with specific triggers.</w:t>
            </w:r>
          </w:p>
        </w:tc>
        <w:tc>
          <w:tcPr>
            <w:tcW w:type="dxa" w:w="3880"/>
            <w:tcBorders>
              <w:top w:val="single" w:color="CCCCCC" w:sz="1"/>
              <w:left w:val="single" w:color="CCCCCC" w:sz="1"/>
              <w:bottom w:val="single" w:color="CCCCCC" w:sz="1"/>
              <w:right w:val="single" w:color="CCCCCC" w:sz="1"/>
            </w:tcBorders>
            <w:shd w:fill="FFF2CC"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'If it gets worse, escalate.' Instead: 'Escalate to Tier 3 if: (1) patient adverse event documented OR suspected; (2) response rate remains below 70% after 72h of Tier 2 response; (3) media or regulatory inquiry received.'</w:t>
            </w:r>
          </w:p>
        </w:tc>
      </w:tr>
    </w:tbl>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Selecting Your Three to Five Scenarios</w:t>
      </w:r>
    </w:p>
    <w:p>
      <w:pPr>
        <w:spacing w:after="100"/>
      </w:pPr>
      <w:r>
        <w:rPr>
          <w:rFonts w:ascii="Arial" w:cs="Arial" w:eastAsia="Arial" w:hAnsi="Arial"/>
          <w:sz w:val="20"/>
          <w:szCs w:val="20"/>
        </w:rPr>
        <w:t xml:space="preserve">Not every risk needs a contingency plan. Select scenarios where the combination of: (a) remaining uncontrolled exposure, (b) pilot activation likelihood, and (c) cross-role coordination requirement makes a pre-written plan essential.</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CCCCC" w:sz="1"/>
              <w:left w:val="single" w:color="CCCCCC" w:sz="1"/>
              <w:bottom w:val="single" w:color="CCCCCC" w:sz="1"/>
              <w:right w:val="single" w:color="CCCCCC" w:sz="1"/>
            </w:tcBorders>
            <w:shd w:fill="375623"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Select This Scenario If...</w:t>
            </w:r>
          </w:p>
        </w:tc>
        <w:tc>
          <w:tcPr>
            <w:tcW w:type="dxa" w:w="4680"/>
            <w:tcBorders>
              <w:top w:val="single" w:color="CCCCCC" w:sz="1"/>
              <w:left w:val="single" w:color="CCCCCC" w:sz="1"/>
              <w:bottom w:val="single" w:color="CCCCCC" w:sz="1"/>
              <w:right w:val="single" w:color="CCCCCC" w:sz="1"/>
            </w:tcBorders>
            <w:shd w:fill="C00000"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Skip / Defer This Scenario If...</w:t>
            </w:r>
          </w:p>
        </w:tc>
      </w:tr>
      <w:tr>
        <w:tc>
          <w:tcPr>
            <w:tcW w:type="dxa" w:w="46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It remains PARTIALLY UNCONTROLLED — M4 control is partial or gap exists</w:t>
            </w:r>
          </w:p>
        </w:tc>
        <w:tc>
          <w:tcPr>
            <w:tcW w:type="dxa" w:w="46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It is fully addressed by a selected M4 control with Grade A and no root cause gap</w:t>
            </w:r>
          </w:p>
        </w:tc>
      </w:tr>
      <w:tr>
        <w:tc>
          <w:tcPr>
            <w:tcW w:type="dxa" w:w="46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It has already surfaced in pilot feedback or testing — real signal, not theoretical</w:t>
            </w:r>
          </w:p>
        </w:tc>
        <w:tc>
          <w:tcPr>
            <w:tcW w:type="dxa" w:w="46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It is a low-probability, low-impact event that would be handled by existing sprint processes</w:t>
            </w:r>
          </w:p>
        </w:tc>
      </w:tr>
      <w:tr>
        <w:tc>
          <w:tcPr>
            <w:tcW w:type="dxa" w:w="46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It threatens patient trust, safety, or schedule stability — consequential failure mode</w:t>
            </w:r>
          </w:p>
        </w:tc>
        <w:tc>
          <w:tcPr>
            <w:tcW w:type="dxa" w:w="46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It requires resources or authorities you don't have access to in this milestone</w:t>
            </w:r>
          </w:p>
        </w:tc>
      </w:tr>
      <w:tr>
        <w:tc>
          <w:tcPr>
            <w:tcW w:type="dxa" w:w="46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It requires MULTI-ROLE COORDINATION — not solvable by one team member alone</w:t>
            </w:r>
          </w:p>
        </w:tc>
        <w:tc>
          <w:tcPr>
            <w:tcW w:type="dxa" w:w="46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It is a technical bug fix that engineering can resolve independently within a sprint</w:t>
            </w:r>
          </w:p>
        </w:tc>
      </w:tr>
      <w:tr>
        <w:tc>
          <w:tcPr>
            <w:tcW w:type="dxa" w:w="46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It came from your M10 decision tree as a bad outcome node or decision loop trigger</w:t>
            </w:r>
          </w:p>
        </w:tc>
        <w:tc>
          <w:tcPr>
            <w:tcW w:type="dxa" w:w="4680"/>
            <w:tcBorders>
              <w:top w:val="single" w:color="CCCCCC" w:sz="1"/>
              <w:left w:val="single" w:color="CCCCCC" w:sz="1"/>
              <w:bottom w:val="single" w:color="CCCCCC" w:sz="1"/>
              <w:right w:val="single" w:color="CCCCCC" w:sz="1"/>
            </w:tcBorders>
            <w:shd w:fill="FFE4EE"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It has no monitoring signal — you would never know it happened until it was too late</w:t>
            </w:r>
          </w:p>
        </w:tc>
      </w:tr>
    </w:tbl>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Avoiding Overreaction and Underreaction</w:t>
      </w:r>
    </w:p>
    <w:p>
      <w:pPr>
        <w:spacing w:after="100"/>
      </w:pPr>
      <w:r>
        <w:rPr>
          <w:rFonts w:ascii="Arial" w:cs="Arial" w:eastAsia="Arial" w:hAnsi="Arial"/>
          <w:sz w:val="20"/>
          <w:szCs w:val="20"/>
        </w:rPr>
        <w:t xml:space="preserve">The escalation tier system exists to calibrate the organizational response to the severity of the event. Two failure modes are equally dangerous:</w:t>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780"/>
        <w:gridCol w:w="3780"/>
      </w:tblGrid>
      <w:tr>
        <w:tc>
          <w:tcPr>
            <w:tcW w:type="dxa" w:w="1800"/>
            <w:tcBorders>
              <w:top w:val="single" w:color="CCCCCC" w:sz="1"/>
              <w:left w:val="single" w:color="CCCCCC" w:sz="1"/>
              <w:bottom w:val="single" w:color="CCCCCC" w:sz="1"/>
              <w:right w:val="single" w:color="CCCCCC" w:sz="1"/>
            </w:tcBorders>
            <w:shd w:fill="2F5496"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Failure Mode</w:t>
            </w:r>
          </w:p>
        </w:tc>
        <w:tc>
          <w:tcPr>
            <w:tcW w:type="dxa" w:w="3780"/>
            <w:tcBorders>
              <w:top w:val="single" w:color="CCCCCC" w:sz="1"/>
              <w:left w:val="single" w:color="CCCCCC" w:sz="1"/>
              <w:bottom w:val="single" w:color="CCCCCC" w:sz="1"/>
              <w:right w:val="single" w:color="CCCCCC" w:sz="1"/>
            </w:tcBorders>
            <w:shd w:fill="2F5496"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What It Looks Like</w:t>
            </w:r>
          </w:p>
        </w:tc>
        <w:tc>
          <w:tcPr>
            <w:tcW w:type="dxa" w:w="3780"/>
            <w:tcBorders>
              <w:top w:val="single" w:color="CCCCCC" w:sz="1"/>
              <w:left w:val="single" w:color="CCCCCC" w:sz="1"/>
              <w:bottom w:val="single" w:color="CCCCCC" w:sz="1"/>
              <w:right w:val="single" w:color="CCCCCC" w:sz="1"/>
            </w:tcBorders>
            <w:shd w:fill="2F5496" w:val="clear"/>
            <w:tcMar>
              <w:top w:type="dxa" w:w="80"/>
              <w:left w:type="dxa" w:w="120"/>
              <w:bottom w:type="dxa" w:w="80"/>
              <w:right w:type="dxa" w:w="120"/>
            </w:tcMar>
          </w:tcPr>
          <w:p>
            <w:pPr>
              <w:jc w:val="center"/>
            </w:pPr>
            <w:r>
              <w:rPr>
                <w:rFonts w:ascii="Arial" w:cs="Arial" w:eastAsia="Arial" w:hAnsi="Arial"/>
                <w:b/>
                <w:bCs/>
                <w:color w:val="FFFFFF"/>
                <w:sz w:val="18"/>
                <w:szCs w:val="18"/>
              </w:rPr>
              <w:t xml:space="preserve">Prevention</w:t>
            </w:r>
          </w:p>
        </w:tc>
      </w:tr>
      <w:tr>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Overreaction</w:t>
            </w:r>
          </w:p>
        </w:tc>
        <w:tc>
          <w:tcPr>
            <w:tcW w:type="dxa" w:w="37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Every alert misfire escalates to COO; team in constant crisis mode; clinical staff lose confidence in the system</w:t>
            </w:r>
          </w:p>
        </w:tc>
        <w:tc>
          <w:tcPr>
            <w:tcW w:type="dxa" w:w="37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Define Tier 1 clearly. Sprint team resolves Tier 1 events without leadership escalation. Not every problem is a Tier 3.</w:t>
            </w:r>
          </w:p>
        </w:tc>
      </w:tr>
      <w:tr>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Underreaction</w:t>
            </w:r>
          </w:p>
        </w:tc>
        <w:tc>
          <w:tcPr>
            <w:tcW w:type="dxa" w:w="37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HIPAA breach suspected but team waits 48 hours to see if it resolves; patient safety event not reported because no one wants to alarm leadership</w:t>
            </w:r>
          </w:p>
        </w:tc>
        <w:tc>
          <w:tcPr>
            <w:tcW w:type="dxa" w:w="37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Define Tier 3 triggers explicitly. Some events are ALWAYS Tier 3 regardless of team preference (any HIPAA breach suspicion; any patient adverse event).</w:t>
            </w:r>
          </w:p>
        </w:tc>
      </w:tr>
      <w:tr>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Ambiguous ownership</w:t>
            </w:r>
          </w:p>
        </w:tc>
        <w:tc>
          <w:tcPr>
            <w:tcW w:type="dxa" w:w="37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Multiple people assume someone else is leading the response; no one sends the notification; the incident sits in limbo</w:t>
            </w:r>
          </w:p>
        </w:tc>
        <w:tc>
          <w:tcPr>
            <w:tcW w:type="dxa" w:w="37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One OWNER per scenario, named by role. The owner is responsible for initiating response and confirming handoffs — not necessarily for solving the problem.</w:t>
            </w:r>
          </w:p>
        </w:tc>
      </w:tr>
      <w:tr>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Communication creep</w:t>
            </w:r>
          </w:p>
        </w:tc>
        <w:tc>
          <w:tcPr>
            <w:tcW w:type="dxa" w:w="37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Well-meaning team member sends informal message to clinical partner before COO approves external communication; creates liability</w:t>
            </w:r>
          </w:p>
        </w:tc>
        <w:tc>
          <w:tcPr>
            <w:tcW w:type="dxa" w:w="37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Communication plan specifies who is NOT authorized to communicate externally before legal/COO review. Silence is a planned action, not an oversight.</w:t>
            </w:r>
          </w:p>
        </w:tc>
      </w:tr>
      <w:tr>
        <w:tc>
          <w:tcPr>
            <w:tcW w:type="dxa" w:w="1800"/>
            <w:tcBorders>
              <w:top w:val="single" w:color="CCCCCC" w:sz="1"/>
              <w:left w:val="single" w:color="CCCCCC" w:sz="1"/>
              <w:bottom w:val="single" w:color="CCCCCC" w:sz="1"/>
              <w:right w:val="single" w:color="CCCCCC" w:sz="1"/>
            </w:tcBorders>
            <w:shd w:fill="D6E4F0" w:val="clear"/>
            <w:tcMar>
              <w:top w:type="dxa" w:w="80"/>
              <w:left w:type="dxa" w:w="120"/>
              <w:bottom w:type="dxa" w:w="80"/>
              <w:right w:type="dxa" w:w="120"/>
            </w:tcMar>
          </w:tcPr>
          <w:p>
            <w:pPr>
              <w:jc w:val="center"/>
            </w:pPr>
            <w:r>
              <w:rPr>
                <w:rFonts w:ascii="Arial" w:cs="Arial" w:eastAsia="Arial" w:hAnsi="Arial"/>
                <w:b w:val="false"/>
                <w:bCs w:val="false"/>
                <w:color w:val="000000"/>
                <w:sz w:val="17"/>
                <w:szCs w:val="17"/>
              </w:rPr>
              <w:t xml:space="preserve">Playbook as ceremony</w:t>
            </w:r>
          </w:p>
        </w:tc>
        <w:tc>
          <w:tcPr>
            <w:tcW w:type="dxa" w:w="378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Contingency plans are written, submitted, and never read again; team has no drill or simulation</w:t>
            </w:r>
          </w:p>
        </w:tc>
        <w:tc>
          <w:tcPr>
            <w:tcW w:type="dxa" w:w="3780"/>
            <w:tcBorders>
              <w:top w:val="single" w:color="CCCCCC" w:sz="1"/>
              <w:left w:val="single" w:color="CCCCCC" w:sz="1"/>
              <w:bottom w:val="single" w:color="CCCCCC" w:sz="1"/>
              <w:right w:val="single" w:color="CCCCCC" w:sz="1"/>
            </w:tcBorders>
            <w:shd w:fill="E2EFDA" w:val="clear"/>
            <w:tcMar>
              <w:top w:type="dxa" w:w="80"/>
              <w:left w:type="dxa" w:w="120"/>
              <w:bottom w:type="dxa" w:w="80"/>
              <w:right w:type="dxa" w:w="120"/>
            </w:tcMar>
          </w:tcPr>
          <w:p>
            <w:pPr>
              <w:jc w:val="left"/>
            </w:pPr>
            <w:r>
              <w:rPr>
                <w:rFonts w:ascii="Arial" w:cs="Arial" w:eastAsia="Arial" w:hAnsi="Arial"/>
                <w:b w:val="false"/>
                <w:bCs w:val="false"/>
                <w:color w:val="000000"/>
                <w:sz w:val="17"/>
                <w:szCs w:val="17"/>
              </w:rPr>
              <w:t xml:space="preserve">Run one tabletop exercise per scenario before pilot launch. 30 minutes per scenario. It is the difference between a plan and a practice.</w:t>
            </w:r>
          </w:p>
        </w:tc>
      </w:tr>
    </w:tbl>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The Tabletop Exercise — Why It Matters</w:t>
      </w:r>
    </w:p>
    <w:p>
      <w:pPr>
        <w:spacing w:after="100"/>
      </w:pPr>
      <w:r>
        <w:rPr>
          <w:rFonts w:ascii="Arial" w:cs="Arial" w:eastAsia="Arial" w:hAnsi="Arial"/>
          <w:sz w:val="20"/>
          <w:szCs w:val="20"/>
        </w:rPr>
        <w:t xml:space="preserve">A contingency plan that has never been practiced is a ceremony, not a capability. Before pilot launch, run a 30-minute tabletop exercise for each of your top two scenarios:</w:t>
      </w:r>
    </w:p>
    <w:p>
      <w:pPr>
        <w:pStyle w:val="ListParagraph"/>
        <w:numPr>
          <w:ilvl w:val="0"/>
          <w:numId w:val="2"/>
        </w:numPr>
        <w:spacing w:after="80"/>
      </w:pPr>
      <w:r>
        <w:rPr>
          <w:rFonts w:ascii="Arial" w:cs="Arial" w:eastAsia="Arial" w:hAnsi="Arial"/>
          <w:sz w:val="20"/>
          <w:szCs w:val="20"/>
        </w:rPr>
        <w:t xml:space="preserve">Assign roles (you play the incident owner; someone plays the Clinical Director; someone plays the patient).</w:t>
      </w:r>
    </w:p>
    <w:p>
      <w:pPr>
        <w:pStyle w:val="ListParagraph"/>
        <w:numPr>
          <w:ilvl w:val="0"/>
          <w:numId w:val="2"/>
        </w:numPr>
        <w:spacing w:after="80"/>
      </w:pPr>
      <w:r>
        <w:rPr>
          <w:rFonts w:ascii="Arial" w:cs="Arial" w:eastAsia="Arial" w:hAnsi="Arial"/>
          <w:sz w:val="20"/>
          <w:szCs w:val="20"/>
        </w:rPr>
        <w:t xml:space="preserve">Present the trigger condition: 'It is Week 4. The alert response rate just came back at 65%. You are the Clinical Informatics Lead. Go.'</w:t>
      </w:r>
    </w:p>
    <w:p>
      <w:pPr>
        <w:pStyle w:val="ListParagraph"/>
        <w:numPr>
          <w:ilvl w:val="0"/>
          <w:numId w:val="2"/>
        </w:numPr>
        <w:spacing w:after="80"/>
      </w:pPr>
      <w:r>
        <w:rPr>
          <w:rFonts w:ascii="Arial" w:cs="Arial" w:eastAsia="Arial" w:hAnsi="Arial"/>
          <w:sz w:val="20"/>
          <w:szCs w:val="20"/>
        </w:rPr>
        <w:t xml:space="preserve">Each 'player' reads their role in the playbook and executes their action. Note what's unclear, what's missing, what order doesn't work.</w:t>
      </w:r>
    </w:p>
    <w:p>
      <w:pPr>
        <w:pStyle w:val="ListParagraph"/>
        <w:numPr>
          <w:ilvl w:val="0"/>
          <w:numId w:val="2"/>
        </w:numPr>
        <w:spacing w:after="80"/>
      </w:pPr>
      <w:r>
        <w:rPr>
          <w:rFonts w:ascii="Arial" w:cs="Arial" w:eastAsia="Arial" w:hAnsi="Arial"/>
          <w:sz w:val="20"/>
          <w:szCs w:val="20"/>
        </w:rPr>
        <w:t xml:space="preserve">Debrief: what did the plan get right? What needs to be added or clarified?</w:t>
      </w:r>
    </w:p>
    <w:p>
      <w:pPr>
        <w:pStyle w:val="ListParagraph"/>
        <w:numPr>
          <w:ilvl w:val="0"/>
          <w:numId w:val="2"/>
        </w:numPr>
        <w:spacing w:after="80"/>
      </w:pPr>
      <w:r>
        <w:rPr>
          <w:rFonts w:ascii="Arial" w:cs="Arial" w:eastAsia="Arial" w:hAnsi="Arial"/>
          <w:sz w:val="20"/>
          <w:szCs w:val="20"/>
        </w:rPr>
        <w:t xml:space="preserve">Update the plan based on the debrief. The updated plan is the real plan.</w:t>
      </w:r>
    </w:p>
    <w:p>
      <w:pPr>
        <w:spacing w:after="60"/>
      </w:pPr>
      <w:r>
        <w:t xml:space="preserve"/>
      </w:r>
    </w:p>
    <w:p>
      <w:pPr>
        <w:shd w:fill="E2EFDA" w:val="clear"/>
        <w:spacing w:after="80" w:before="80"/>
        <w:ind w:left="360" w:right="360"/>
      </w:pPr>
      <w:r>
        <w:rPr>
          <w:rFonts w:ascii="Arial" w:cs="Arial" w:eastAsia="Arial" w:hAnsi="Arial"/>
          <w:b/>
          <w:bCs/>
          <w:i w:val="false"/>
          <w:iCs w:val="false"/>
          <w:color w:val="000000"/>
          <w:sz w:val="20"/>
          <w:szCs w:val="20"/>
        </w:rPr>
        <w:t xml:space="preserve">A 30-minute tabletop exercise before pilot launch is worth 10 hours of post-incident review after it. Run it.</w:t>
      </w:r>
    </w:p>
    <w:p>
      <w:pPr>
        <w:spacing w:after="60"/>
      </w:pPr>
      <w:r>
        <w:t xml:space="preserve"/>
      </w:r>
    </w:p>
    <w:p>
      <w:pPr>
        <w:pStyle w:val="Heading1"/>
        <w:shd w:fill="2F5496" w:val="clear"/>
        <w:spacing w:after="120" w:before="200"/>
      </w:pPr>
      <w:r>
        <w:rPr>
          <w:rFonts w:ascii="Arial" w:cs="Arial" w:eastAsia="Arial" w:hAnsi="Arial"/>
          <w:b/>
          <w:bCs/>
          <w:color w:val="FFFFFF"/>
          <w:sz w:val="28"/>
          <w:szCs w:val="28"/>
        </w:rPr>
        <w:t xml:space="preserve">Contingency Plans and Equity</w:t>
      </w:r>
    </w:p>
    <w:p>
      <w:pPr>
        <w:spacing w:after="100"/>
      </w:pPr>
      <w:r>
        <w:rPr>
          <w:rFonts w:ascii="Arial" w:cs="Arial" w:eastAsia="Arial" w:hAnsi="Arial"/>
          <w:sz w:val="20"/>
          <w:szCs w:val="20"/>
        </w:rPr>
        <w:t xml:space="preserve">Every contingency plan must be reviewed through an equity lens before it is finalized:</w:t>
      </w:r>
    </w:p>
    <w:p>
      <w:pPr>
        <w:pStyle w:val="ListParagraph"/>
        <w:numPr>
          <w:ilvl w:val="0"/>
          <w:numId w:val="3"/>
        </w:numPr>
        <w:spacing w:after="80"/>
      </w:pPr>
      <w:r>
        <w:rPr>
          <w:rFonts w:ascii="Arial" w:cs="Arial" w:eastAsia="Arial" w:hAnsi="Arial"/>
          <w:sz w:val="20"/>
          <w:szCs w:val="20"/>
        </w:rPr>
        <w:t xml:space="preserve">Does the communication plan reach non-English-speaking patients in their language?</w:t>
      </w:r>
    </w:p>
    <w:p>
      <w:pPr>
        <w:pStyle w:val="ListParagraph"/>
        <w:numPr>
          <w:ilvl w:val="0"/>
          <w:numId w:val="3"/>
        </w:numPr>
        <w:spacing w:after="80"/>
      </w:pPr>
      <w:r>
        <w:rPr>
          <w:rFonts w:ascii="Arial" w:cs="Arial" w:eastAsia="Arial" w:hAnsi="Arial"/>
          <w:sz w:val="20"/>
          <w:szCs w:val="20"/>
        </w:rPr>
        <w:t xml:space="preserve">Does the patient notification process assume literacy and device access that not all patients have?</w:t>
      </w:r>
    </w:p>
    <w:p>
      <w:pPr>
        <w:pStyle w:val="ListParagraph"/>
        <w:numPr>
          <w:ilvl w:val="0"/>
          <w:numId w:val="3"/>
        </w:numPr>
        <w:spacing w:after="80"/>
      </w:pPr>
      <w:r>
        <w:rPr>
          <w:rFonts w:ascii="Arial" w:cs="Arial" w:eastAsia="Arial" w:hAnsi="Arial"/>
          <w:sz w:val="20"/>
          <w:szCs w:val="20"/>
        </w:rPr>
        <w:t xml:space="preserve">Does the CHW network have a role in patient communication for trust-sensitive events?</w:t>
      </w:r>
    </w:p>
    <w:p>
      <w:pPr>
        <w:pStyle w:val="ListParagraph"/>
        <w:numPr>
          <w:ilvl w:val="0"/>
          <w:numId w:val="3"/>
        </w:numPr>
        <w:spacing w:after="80"/>
      </w:pPr>
      <w:r>
        <w:rPr>
          <w:rFonts w:ascii="Arial" w:cs="Arial" w:eastAsia="Arial" w:hAnsi="Arial"/>
          <w:sz w:val="20"/>
          <w:szCs w:val="20"/>
        </w:rPr>
        <w:t xml:space="preserve">For Tier 3 events (community trust, privacy): is the Community Health Liaison in the first notification chain, not added as an afterthought?</w:t>
      </w:r>
    </w:p>
    <w:p>
      <w:pPr>
        <w:pStyle w:val="ListParagraph"/>
        <w:numPr>
          <w:ilvl w:val="0"/>
          <w:numId w:val="3"/>
        </w:numPr>
        <w:spacing w:after="80"/>
      </w:pPr>
      <w:r>
        <w:rPr>
          <w:rFonts w:ascii="Arial" w:cs="Arial" w:eastAsia="Arial" w:hAnsi="Arial"/>
          <w:sz w:val="20"/>
          <w:szCs w:val="20"/>
        </w:rPr>
        <w:t xml:space="preserve">Does the recovery plan include CHW-facilitated community listening sessions — not just internal process fixes?</w:t>
      </w:r>
    </w:p>
    <w:p>
      <w:pPr>
        <w:spacing w:after="60"/>
      </w:pPr>
      <w:r>
        <w:t xml:space="preserve"/>
      </w:r>
    </w:p>
    <w:p>
      <w:pPr>
        <w:spacing w:after="100"/>
      </w:pPr>
      <w:r>
        <w:rPr>
          <w:rFonts w:ascii="Arial" w:cs="Arial" w:eastAsia="Arial" w:hAnsi="Arial"/>
          <w:i/>
          <w:iCs/>
          <w:sz w:val="20"/>
          <w:szCs w:val="20"/>
        </w:rPr>
        <w:t xml:space="preserve">Contingency plans that ignore equity in their response process will compound the harm they are trying to address. A HIPAA breach notification sent only in English to a predominantly multilingual community is itself an equity failure on top of a privacy failure.</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o"/>
      <w:lvlJc w:val="left"/>
      <w:pPr>
        <w:ind w:left="108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00"/>
      <w:outlineLvl w:val="0"/>
    </w:pPr>
    <w:rPr>
      <w:rFonts w:ascii="Arial" w:cs="Arial" w:eastAsia="Arial" w:hAnsi="Arial"/>
      <w:b/>
      <w:bCs/>
      <w:color w:val="FFFFFF"/>
      <w:sz w:val="28"/>
      <w:szCs w:val="28"/>
    </w:rPr>
  </w:style>
  <w:style w:type="paragraph" w:styleId="Heading2">
    <w:name w:val="Heading 2"/>
    <w:basedOn w:val="Normal"/>
    <w:next w:val="Normal"/>
    <w:qFormat/>
    <w:pPr>
      <w:spacing w:after="80" w:before="160"/>
      <w:outlineLvl w:val="1"/>
    </w:pPr>
    <w:rPr>
      <w:rFonts w:ascii="Arial" w:cs="Arial" w:eastAsia="Arial" w:hAnsi="Arial"/>
      <w:b/>
      <w:bCs/>
      <w:color w:val="1F3864"/>
      <w:sz w:val="22"/>
      <w:szCs w:val="22"/>
    </w:rPr>
  </w:style>
  <w:style w:type="paragraph" w:styleId="Heading3">
    <w:name w:val="Heading 3"/>
    <w:basedOn w:val="Normal"/>
    <w:next w:val="Normal"/>
    <w:qFormat/>
    <w:pPr>
      <w:spacing w:after="60" w:before="120"/>
      <w:outlineLvl w:val="2"/>
    </w:pPr>
    <w:rPr>
      <w:rFonts w:ascii="Arial" w:cs="Arial" w:eastAsia="Arial" w:hAnsi="Arial"/>
      <w:b/>
      <w:bCs/>
      <w:color w:val="2F5496"/>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2026-06-24T21:20:28.265Z</dcterms:created>
  <dcterms:modified xsi:type="dcterms:W3CDTF">2026-06-24T21:20:28.265Z</dcterms:modified>
</cp:coreProperties>
</file>

<file path=docProps/custom.xml><?xml version="1.0" encoding="utf-8"?>
<Properties xmlns="http://schemas.openxmlformats.org/officeDocument/2006/custom-properties" xmlns:vt="http://schemas.openxmlformats.org/officeDocument/2006/docPropsVTypes"/>
</file>