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1200"/>
      </w:pPr>
      <w:r>
        <w:rPr>
          <w:rFonts w:ascii="Arial" w:cs="Arial" w:eastAsia="Arial" w:hAnsi="Arial"/>
          <w:b/>
          <w:bCs/>
          <w:color w:val="1F3864"/>
          <w:sz w:val="52"/>
          <w:szCs w:val="52"/>
        </w:rPr>
        <w:t xml:space="preserve">Reflection Prompt Sheet and Sample Excerpts</w:t>
      </w:r>
    </w:p>
    <w:p>
      <w:pPr>
        <w:spacing w:after="160"/>
      </w:pPr>
      <w:r>
        <w:rPr>
          <w:rFonts w:ascii="Arial" w:cs="Arial" w:eastAsia="Arial" w:hAnsi="Arial"/>
          <w:color w:val="2F5496"/>
          <w:sz w:val="26"/>
          <w:szCs w:val="26"/>
        </w:rPr>
        <w:t xml:space="preserve">Milestone 12 — Leadership Reflection Reference</w:t>
      </w:r>
    </w:p>
    <w:p>
      <w:pPr>
        <w:spacing w:after="160"/>
      </w:pPr>
      <w:r>
        <w:rPr>
          <w:rFonts w:ascii="Arial" w:cs="Arial" w:eastAsia="Arial" w:hAnsi="Arial"/>
          <w:color w:val="888888"/>
          <w:sz w:val="20"/>
          <w:szCs w:val="20"/>
        </w:rPr>
        <w:t xml:space="preserve">SMDC Dashboard Initiative  |  Risk Management Practicum  |  Milestone 12</w:t>
      </w:r>
    </w:p>
    <w:p>
      <w:pPr>
        <w:pBdr>
          <w:bottom w:val="single" w:color="2F5496" w:sz="6" w:space="1"/>
        </w:pBdr>
        <w:spacing w:after="120"/>
      </w:pPr>
      <w:r>
        <w:t xml:space="preserve"/>
      </w:r>
    </w:p>
    <w:p>
      <w:pPr>
        <w:pStyle w:val="Heading1"/>
        <w:shd w:fill="2F5496" w:val="clear"/>
        <w:spacing w:after="120" w:before="200"/>
      </w:pPr>
      <w:r>
        <w:rPr>
          <w:rFonts w:ascii="Arial" w:cs="Arial" w:eastAsia="Arial" w:hAnsi="Arial"/>
          <w:b/>
          <w:bCs/>
          <w:color w:val="FFFFFF"/>
          <w:sz w:val="28"/>
          <w:szCs w:val="28"/>
        </w:rPr>
        <w:t xml:space="preserve">What the Leadership Reflection Is</w:t>
      </w:r>
    </w:p>
    <w:p>
      <w:pPr>
        <w:spacing w:after="100"/>
      </w:pPr>
      <w:r>
        <w:rPr>
          <w:rFonts w:ascii="Arial" w:cs="Arial" w:eastAsia="Arial" w:hAnsi="Arial"/>
          <w:sz w:val="20"/>
          <w:szCs w:val="20"/>
        </w:rPr>
        <w:t xml:space="preserve">The Leadership Reflection is not a summary of what you did. It is an examination of how you think — how your thinking about risk, leadership, and organizational complexity has changed across twelve weeks of structured practice.</w:t>
      </w:r>
    </w:p>
    <w:p>
      <w:pPr>
        <w:spacing w:after="60"/>
      </w:pPr>
      <w:r>
        <w:t xml:space="preserve"/>
      </w:r>
    </w:p>
    <w:p>
      <w:pPr>
        <w:spacing w:after="100"/>
      </w:pPr>
      <w:r>
        <w:rPr>
          <w:rFonts w:ascii="Arial" w:cs="Arial" w:eastAsia="Arial" w:hAnsi="Arial"/>
          <w:sz w:val="20"/>
          <w:szCs w:val="20"/>
        </w:rPr>
        <w:t xml:space="preserve">The strongest reflections have three qualities: they are specific (they name milestones, stakeholders, or moments), they are honest (they acknowledge what was hard, confusing, or uncomfortable), and they show genuine perspective change (they articulate a before and an after in how you understand something).</w:t>
      </w:r>
    </w:p>
    <w:p>
      <w:pPr>
        <w:spacing w:after="60"/>
      </w:pPr>
      <w:r>
        <w:t xml:space="preserve"/>
      </w:r>
    </w:p>
    <w:p>
      <w:pPr>
        <w:shd w:fill="FFF2CC" w:val="clear"/>
        <w:spacing w:after="80" w:before="80"/>
        <w:ind w:left="360" w:right="360"/>
      </w:pPr>
      <w:r>
        <w:rPr>
          <w:rFonts w:ascii="Arial" w:cs="Arial" w:eastAsia="Arial" w:hAnsi="Arial"/>
          <w:b w:val="false"/>
          <w:bCs w:val="false"/>
          <w:i/>
          <w:iCs/>
          <w:color w:val="1F3864"/>
          <w:sz w:val="20"/>
          <w:szCs w:val="20"/>
        </w:rPr>
        <w:t xml:space="preserve">The reflection is graded on depth of insight, not volume of words. Two paragraphs of genuine self-examination are worth more than three pages of summary. Say less, mean more.</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Core Reflection Prompts — With Guidance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Reflection Prompt</w:t>
            </w:r>
          </w:p>
        </w:tc>
        <w:tc>
          <w:tcPr>
            <w:tcW w:type="dxa" w:w="34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What Strong Responses Include</w:t>
            </w:r>
          </w:p>
        </w:tc>
        <w:tc>
          <w:tcPr>
            <w:tcW w:type="dxa" w:w="34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What Weak Responses Look Like</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What was your mindset at the beginning of this course — and what has changed?</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Specific claim about initial mindset; named milestone or moment that changed it; articulation of the new thinking that replaced it</w:t>
            </w:r>
          </w:p>
        </w:tc>
        <w:tc>
          <w:tcPr>
            <w:tcW w:type="dxa" w:w="34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 learned a lot.' No specifics. No named moment. Generic growth narrative.</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Which milestone challenged you the most, and how did you grow from it?</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One specific milestone named; specific aspect of the challenge described; concrete evidence of growth in that area</w:t>
            </w:r>
          </w:p>
        </w:tc>
        <w:tc>
          <w:tcPr>
            <w:tcW w:type="dxa" w:w="34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hardest was the root cause analysis.' No explanation of WHY it was hard or what the growth looked like.</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How do you now define 'risk' beyond technical or financial terms?</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Definition that includes organizational, social, or human dimensions; specific example from the practicum; contrast with original definition</w:t>
            </w:r>
          </w:p>
        </w:tc>
        <w:tc>
          <w:tcPr>
            <w:tcW w:type="dxa" w:w="34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'Risk is a potential negative event.' No evolution. No SMDC specificity. No personal dimension.</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What does leadership look like during uncertainty or failure?</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Specific scenario from the practicum where uncertainty was present; named action or stance that you took or observed; articulation of a leadership principle</w:t>
            </w:r>
          </w:p>
        </w:tc>
        <w:tc>
          <w:tcPr>
            <w:tcW w:type="dxa" w:w="34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'Leaders stay calm.' No specifics. No personal reflection.</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What would you do differently in a real-world project after completing this course?</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Three to five specific behaviors or practices you would introduce; linked to specific milestone lessons; realistic given resource and time constraints</w:t>
            </w:r>
          </w:p>
        </w:tc>
        <w:tc>
          <w:tcPr>
            <w:tcW w:type="dxa" w:w="34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 would manage risk better.' No specifics. No connection to practicum content.</w:t>
            </w:r>
          </w:p>
        </w:tc>
      </w:tr>
    </w:tbl>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Deeper Reflection Prompts — For Distinction-Level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Reflection Prompt</w:t>
            </w:r>
          </w:p>
        </w:tc>
        <w:tc>
          <w:tcPr>
            <w:tcW w:type="dxa" w:w="34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What Strong Responses Include</w:t>
            </w:r>
          </w:p>
        </w:tc>
        <w:tc>
          <w:tcPr>
            <w:tcW w:type="dxa" w:w="34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What Weak Responses Look Like</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How do you balance visibility with humility — showing what you know while staying open to what you don't?</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Specific moment from stakeholder work where you were wrong or surprised; reflection on how you adjusted; principle that emerges</w:t>
            </w:r>
          </w:p>
        </w:tc>
        <w:tc>
          <w:tcPr>
            <w:tcW w:type="dxa" w:w="34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 would listen to stakeholders.' Vague. No self-examination.</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What risks in the SMDC project were hardest to name aloud — and why?</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Named a specific risk (equity exclusion, consent gap, trust collapse); explained what made it politically or emotionally difficult to name; reflected on what that difficulty reveals about organizational culture</w:t>
            </w:r>
          </w:p>
        </w:tc>
        <w:tc>
          <w:tcPr>
            <w:tcW w:type="dxa" w:w="34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Lists risks without reflecting on why naming them was hard</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Which stakeholder surprised you most — and what did their perspective teach you?</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Named a specific stakeholder role (e.g., Community Advocate, Compliance Officer); specific thing they said or scored that surprised you; what that revealed about your own assumptions</w:t>
            </w:r>
          </w:p>
        </w:tc>
        <w:tc>
          <w:tcPr>
            <w:tcW w:type="dxa" w:w="34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community advocate had interesting views.' No specifics. No learning articulated.</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How does this experience change how you think about team decision-making?</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Specific mechanism (convergence map, consensus classification, decision tree) that changed how you think about group decisions; principle that you will carry forward</w:t>
            </w:r>
          </w:p>
        </w:tc>
        <w:tc>
          <w:tcPr>
            <w:tcW w:type="dxa" w:w="34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 learned that teams have different opinions.' No depth. No transfer.</w:t>
            </w:r>
          </w:p>
        </w:tc>
      </w:tr>
    </w:tbl>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Sample Reflection Excerpts — Annotated</w:t>
      </w:r>
    </w:p>
    <w:p>
      <w:pPr>
        <w:spacing w:after="100"/>
      </w:pPr>
      <w:r>
        <w:rPr>
          <w:rFonts w:ascii="Arial" w:cs="Arial" w:eastAsia="Arial" w:hAnsi="Arial"/>
          <w:sz w:val="20"/>
          <w:szCs w:val="20"/>
        </w:rPr>
        <w:t xml:space="preserve">These are illustrative excerpts representing the level of specificity and insight that earns high marks. They are written as models, not as templates to copy.</w:t>
      </w:r>
    </w:p>
    <w:p>
      <w:pPr>
        <w:spacing w:after="60"/>
      </w:pPr>
      <w:r>
        <w:t xml:space="preserve"/>
      </w:r>
    </w:p>
    <w:p>
      <w:pPr>
        <w:shd w:fill="E2EFDA" w:val="clear"/>
        <w:spacing w:after="60" w:before="120"/>
      </w:pPr>
      <w:r>
        <w:rPr>
          <w:rFonts w:ascii="Arial" w:cs="Arial" w:eastAsia="Arial" w:hAnsi="Arial"/>
          <w:b/>
          <w:bCs/>
          <w:color w:val="1F3864"/>
          <w:sz w:val="20"/>
          <w:szCs w:val="20"/>
        </w:rPr>
        <w:t xml:space="preserve">Excerpt 1 — On Defining Risk</w:t>
      </w:r>
    </w:p>
    <w:p>
      <w:pPr>
        <w:pBdr>
          <w:left w:val="single" w:color="2F5496" w:sz="12" w:space="1"/>
        </w:pBdr>
        <w:spacing w:after="60"/>
        <w:ind w:left="360" w:right="360"/>
      </w:pPr>
      <w:r>
        <w:rPr>
          <w:rFonts w:ascii="Arial" w:cs="Arial" w:eastAsia="Arial" w:hAnsi="Arial"/>
          <w:i/>
          <w:iCs/>
          <w:color w:val="333333"/>
          <w:sz w:val="20"/>
          <w:szCs w:val="20"/>
        </w:rPr>
        <w:t xml:space="preserve">I came into this course thinking risk was a synonym for 'things that might go wrong technically.' The fishbone diagram in Milestone 5 changed that. When I traced alert fatigue — something I had been thinking of as an engineering calibration problem — five levels deep, I ended up at investor timeline pressure that was never explicitly named in a sprint. That is not a technical root cause. That is a cultural and organizational one. Risk, I now understand, is any condition that can cause a project to fail to serve the people it was designed to serve — and most of those conditions are human, not technical.</w:t>
      </w:r>
    </w:p>
    <w:p>
      <w:pPr>
        <w:spacing w:after="100"/>
      </w:pPr>
      <w:r>
        <w:rPr>
          <w:rFonts w:ascii="Arial" w:cs="Arial" w:eastAsia="Arial" w:hAnsi="Arial"/>
          <w:i/>
          <w:iCs/>
          <w:color w:val="2F5496"/>
          <w:sz w:val="18"/>
          <w:szCs w:val="18"/>
        </w:rPr>
        <w:t xml:space="preserve">Why this works: specific milestone named, specific risk traced, explicit before/after in definition, conclusion drawn from evidence rather than asserted</w:t>
      </w:r>
    </w:p>
    <w:p>
      <w:pPr>
        <w:spacing w:after="60"/>
      </w:pPr>
      <w:r>
        <w:t xml:space="preserve"/>
      </w:r>
    </w:p>
    <w:p>
      <w:pPr>
        <w:shd w:fill="E2EFDA" w:val="clear"/>
        <w:spacing w:after="60" w:before="120"/>
      </w:pPr>
      <w:r>
        <w:rPr>
          <w:rFonts w:ascii="Arial" w:cs="Arial" w:eastAsia="Arial" w:hAnsi="Arial"/>
          <w:b/>
          <w:bCs/>
          <w:color w:val="1F3864"/>
          <w:sz w:val="20"/>
          <w:szCs w:val="20"/>
        </w:rPr>
        <w:t xml:space="preserve">Excerpt 2 — On Stakeholder Surprise</w:t>
      </w:r>
    </w:p>
    <w:p>
      <w:pPr>
        <w:pBdr>
          <w:left w:val="single" w:color="2F5496" w:sz="12" w:space="1"/>
        </w:pBdr>
        <w:spacing w:after="60"/>
        <w:ind w:left="360" w:right="360"/>
      </w:pPr>
      <w:r>
        <w:rPr>
          <w:rFonts w:ascii="Arial" w:cs="Arial" w:eastAsia="Arial" w:hAnsi="Arial"/>
          <w:i/>
          <w:iCs/>
          <w:color w:val="333333"/>
          <w:sz w:val="20"/>
          <w:szCs w:val="20"/>
        </w:rPr>
        <w:t xml:space="preserve">The stakeholder who surprised me most was the Community/Patient Advocate. Not because her concerns were unexpected — I had been reading about health equity for years — but because she named the trust risk as irreversible in a way that cut through all the probabilistic language we had been using. When she said 'you have about one bad experience before they stop,' she was not describing a risk event. She was describing a relationship. I had been modeling trust as a variable. She was telling me it was a foundation. That distinction changed how I read every other risk in the matrix.</w:t>
      </w:r>
    </w:p>
    <w:p>
      <w:pPr>
        <w:spacing w:after="100"/>
      </w:pPr>
      <w:r>
        <w:rPr>
          <w:rFonts w:ascii="Arial" w:cs="Arial" w:eastAsia="Arial" w:hAnsi="Arial"/>
          <w:i/>
          <w:iCs/>
          <w:color w:val="2F5496"/>
          <w:sz w:val="18"/>
          <w:szCs w:val="18"/>
        </w:rPr>
        <w:t xml:space="preserve">Why this works: specific role named, specific thing that was said (paraphrased), explicit analytical shift articulated, conclusion transfers beyond the practicum</w:t>
      </w:r>
    </w:p>
    <w:p>
      <w:pPr>
        <w:spacing w:after="60"/>
      </w:pPr>
      <w:r>
        <w:t xml:space="preserve"/>
      </w:r>
    </w:p>
    <w:p>
      <w:pPr>
        <w:shd w:fill="E2EFDA" w:val="clear"/>
        <w:spacing w:after="60" w:before="120"/>
      </w:pPr>
      <w:r>
        <w:rPr>
          <w:rFonts w:ascii="Arial" w:cs="Arial" w:eastAsia="Arial" w:hAnsi="Arial"/>
          <w:b/>
          <w:bCs/>
          <w:color w:val="1F3864"/>
          <w:sz w:val="20"/>
          <w:szCs w:val="20"/>
        </w:rPr>
        <w:t xml:space="preserve">Excerpt 3 — On Leadership Under Uncertainty</w:t>
      </w:r>
    </w:p>
    <w:p>
      <w:pPr>
        <w:pBdr>
          <w:left w:val="single" w:color="2F5496" w:sz="12" w:space="1"/>
        </w:pBdr>
        <w:spacing w:after="60"/>
        <w:ind w:left="360" w:right="360"/>
      </w:pPr>
      <w:r>
        <w:rPr>
          <w:rFonts w:ascii="Arial" w:cs="Arial" w:eastAsia="Arial" w:hAnsi="Arial"/>
          <w:i/>
          <w:iCs/>
          <w:color w:val="333333"/>
          <w:sz w:val="20"/>
          <w:szCs w:val="20"/>
        </w:rPr>
        <w:t xml:space="preserve">The hardest thing about Milestone 9 was not choosing which controls to select — the effort/impact scores made that relatively clear. The hardest thing was writing the deferral consequence register. Saying explicitly: 'By deferring multilingual UI, we are knowingly excluding Amara and the non-English-speaking population from the pilot.' That sentence is not a bureaucratic note. It is a moral statement. Leadership under uncertainty, I learned, is not primarily about making the right call. It is about being honest about what you are trading away when you make any call.</w:t>
      </w:r>
    </w:p>
    <w:p>
      <w:pPr>
        <w:spacing w:after="100"/>
      </w:pPr>
      <w:r>
        <w:rPr>
          <w:rFonts w:ascii="Arial" w:cs="Arial" w:eastAsia="Arial" w:hAnsi="Arial"/>
          <w:i/>
          <w:iCs/>
          <w:color w:val="2F5496"/>
          <w:sz w:val="18"/>
          <w:szCs w:val="18"/>
        </w:rPr>
        <w:t xml:space="preserve">Why this works: specific milestone and deliverable element named, specific patient persona cited, explicit moral dimension named, principle articulated with clarity</w:t>
      </w:r>
    </w:p>
    <w:p>
      <w:pPr>
        <w:spacing w:after="60"/>
      </w:pPr>
      <w:r>
        <w:t xml:space="preserve"/>
      </w:r>
    </w:p>
    <w:p>
      <w:pPr>
        <w:shd w:fill="E2EFDA" w:val="clear"/>
        <w:spacing w:after="60" w:before="120"/>
      </w:pPr>
      <w:r>
        <w:rPr>
          <w:rFonts w:ascii="Arial" w:cs="Arial" w:eastAsia="Arial" w:hAnsi="Arial"/>
          <w:b/>
          <w:bCs/>
          <w:color w:val="1F3864"/>
          <w:sz w:val="20"/>
          <w:szCs w:val="20"/>
        </w:rPr>
        <w:t xml:space="preserve">Excerpt 4 — On False Consensus</w:t>
      </w:r>
    </w:p>
    <w:p>
      <w:pPr>
        <w:pBdr>
          <w:left w:val="single" w:color="2F5496" w:sz="12" w:space="1"/>
        </w:pBdr>
        <w:spacing w:after="60"/>
        <w:ind w:left="360" w:right="360"/>
      </w:pPr>
      <w:r>
        <w:rPr>
          <w:rFonts w:ascii="Arial" w:cs="Arial" w:eastAsia="Arial" w:hAnsi="Arial"/>
          <w:i/>
          <w:iCs/>
          <w:color w:val="333333"/>
          <w:sz w:val="20"/>
          <w:szCs w:val="20"/>
        </w:rPr>
        <w:t xml:space="preserve">I used to think agreement was a good sign. When everyone in a Delphi session gives the same score, the instinct is to move on — alignment achieved. Milestone 3 taught me that the most dangerous pattern is not disagreement. It is false consensus: the same score for different reasons. When the UX Lead and the Clinical Director both scored patient misinterpretation as a 4, I thought we were aligned. We weren't. UX was thinking about UI clarity. Clinical was thinking about downstream care decisions. We were planning to fix two different problems with one intervention. Without the probing conversation that surfaced this, we would have built a solution that worked for neither.</w:t>
      </w:r>
    </w:p>
    <w:p>
      <w:pPr>
        <w:spacing w:after="100"/>
      </w:pPr>
      <w:r>
        <w:rPr>
          <w:rFonts w:ascii="Arial" w:cs="Arial" w:eastAsia="Arial" w:hAnsi="Arial"/>
          <w:i/>
          <w:iCs/>
          <w:color w:val="2F5496"/>
          <w:sz w:val="18"/>
          <w:szCs w:val="18"/>
        </w:rPr>
        <w:t xml:space="preserve">Why this works: specific milestone, specific risk ID, specific stakeholders, specific mechanism of false consensus, consequence if it had gone undetected</w:t>
      </w:r>
    </w:p>
    <w:p>
      <w:pPr>
        <w:spacing w:after="60"/>
      </w:pPr>
      <w:r>
        <w:t xml:space="preserve"/>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What to Avoid</w:t>
      </w:r>
    </w:p>
    <w:p>
      <w:pPr>
        <w:pStyle w:val="ListParagraph"/>
        <w:numPr>
          <w:ilvl w:val="0"/>
          <w:numId w:val="2"/>
        </w:numPr>
        <w:spacing w:after="80"/>
      </w:pPr>
      <w:r>
        <w:rPr>
          <w:rFonts w:ascii="Arial" w:cs="Arial" w:eastAsia="Arial" w:hAnsi="Arial"/>
          <w:sz w:val="20"/>
          <w:szCs w:val="20"/>
        </w:rPr>
        <w:t xml:space="preserve">Avoid starting every paragraph with 'In Milestone X, we...' — this makes the reflection a summary, not an analysis.</w:t>
      </w:r>
    </w:p>
    <w:p>
      <w:pPr>
        <w:pStyle w:val="ListParagraph"/>
        <w:numPr>
          <w:ilvl w:val="0"/>
          <w:numId w:val="2"/>
        </w:numPr>
        <w:spacing w:after="80"/>
      </w:pPr>
      <w:r>
        <w:rPr>
          <w:rFonts w:ascii="Arial" w:cs="Arial" w:eastAsia="Arial" w:hAnsi="Arial"/>
          <w:sz w:val="20"/>
          <w:szCs w:val="20"/>
        </w:rPr>
        <w:t xml:space="preserve">Avoid vague claims ('I learned to think about risk differently') without naming the specific moment or mechanism that produced the change.</w:t>
      </w:r>
    </w:p>
    <w:p>
      <w:pPr>
        <w:pStyle w:val="ListParagraph"/>
        <w:numPr>
          <w:ilvl w:val="0"/>
          <w:numId w:val="2"/>
        </w:numPr>
        <w:spacing w:after="80"/>
      </w:pPr>
      <w:r>
        <w:rPr>
          <w:rFonts w:ascii="Arial" w:cs="Arial" w:eastAsia="Arial" w:hAnsi="Arial"/>
          <w:sz w:val="20"/>
          <w:szCs w:val="20"/>
        </w:rPr>
        <w:t xml:space="preserve">Avoid passive constructions ('It was recognized that...') — write in first person and own your observations.</w:t>
      </w:r>
    </w:p>
    <w:p>
      <w:pPr>
        <w:pStyle w:val="ListParagraph"/>
        <w:numPr>
          <w:ilvl w:val="0"/>
          <w:numId w:val="2"/>
        </w:numPr>
        <w:spacing w:after="80"/>
      </w:pPr>
      <w:r>
        <w:rPr>
          <w:rFonts w:ascii="Arial" w:cs="Arial" w:eastAsia="Arial" w:hAnsi="Arial"/>
          <w:sz w:val="20"/>
          <w:szCs w:val="20"/>
        </w:rPr>
        <w:t xml:space="preserve">Avoid ending on a list of what you would do differently without explaining WHY you would do it differently. The 'why' is the reflection.</w:t>
      </w:r>
    </w:p>
    <w:p>
      <w:pPr>
        <w:pStyle w:val="ListParagraph"/>
        <w:numPr>
          <w:ilvl w:val="0"/>
          <w:numId w:val="2"/>
        </w:numPr>
        <w:spacing w:after="80"/>
      </w:pPr>
      <w:r>
        <w:rPr>
          <w:rFonts w:ascii="Arial" w:cs="Arial" w:eastAsia="Arial" w:hAnsi="Arial"/>
          <w:sz w:val="20"/>
          <w:szCs w:val="20"/>
        </w:rPr>
        <w:t xml:space="preserve">Avoid being falsely positive — the most compelling reflections acknowledge what was hard, confusing, or where you made an error in your analysis.</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The Optional Risk Leadership Statement</w:t>
      </w:r>
    </w:p>
    <w:p>
      <w:pPr>
        <w:spacing w:after="100"/>
      </w:pPr>
      <w:r>
        <w:rPr>
          <w:rFonts w:ascii="Arial" w:cs="Arial" w:eastAsia="Arial" w:hAnsi="Arial"/>
          <w:sz w:val="20"/>
          <w:szCs w:val="20"/>
        </w:rPr>
        <w:t xml:space="preserve">For the optional portfolio enhancement, write a 1-paragraph professional statement (5–8 sentences) that could appear on a resume, portfolio cover, or LinkedIn profile. It should:</w:t>
      </w:r>
    </w:p>
    <w:p>
      <w:pPr>
        <w:pStyle w:val="ListParagraph"/>
        <w:numPr>
          <w:ilvl w:val="0"/>
          <w:numId w:val="2"/>
        </w:numPr>
        <w:spacing w:after="80"/>
      </w:pPr>
      <w:r>
        <w:rPr>
          <w:rFonts w:ascii="Arial" w:cs="Arial" w:eastAsia="Arial" w:hAnsi="Arial"/>
          <w:sz w:val="20"/>
          <w:szCs w:val="20"/>
        </w:rPr>
        <w:t xml:space="preserve">Name the practicum context (SMDC digital health project).</w:t>
      </w:r>
    </w:p>
    <w:p>
      <w:pPr>
        <w:pStyle w:val="ListParagraph"/>
        <w:numPr>
          <w:ilvl w:val="0"/>
          <w:numId w:val="2"/>
        </w:numPr>
        <w:spacing w:after="80"/>
      </w:pPr>
      <w:r>
        <w:rPr>
          <w:rFonts w:ascii="Arial" w:cs="Arial" w:eastAsia="Arial" w:hAnsi="Arial"/>
          <w:sz w:val="20"/>
          <w:szCs w:val="20"/>
        </w:rPr>
        <w:t xml:space="preserve">Describe your role (risk analyst, strategist, facilitator).</w:t>
      </w:r>
    </w:p>
    <w:p>
      <w:pPr>
        <w:pStyle w:val="ListParagraph"/>
        <w:numPr>
          <w:ilvl w:val="0"/>
          <w:numId w:val="2"/>
        </w:numPr>
        <w:spacing w:after="80"/>
      </w:pPr>
      <w:r>
        <w:rPr>
          <w:rFonts w:ascii="Arial" w:cs="Arial" w:eastAsia="Arial" w:hAnsi="Arial"/>
          <w:sz w:val="20"/>
          <w:szCs w:val="20"/>
        </w:rPr>
        <w:t xml:space="preserve">Name two or three specific skills or tools you developed (Delphi facilitation, decision tree modeling, stakeholder convergence mapping).</w:t>
      </w:r>
    </w:p>
    <w:p>
      <w:pPr>
        <w:pStyle w:val="ListParagraph"/>
        <w:numPr>
          <w:ilvl w:val="0"/>
          <w:numId w:val="2"/>
        </w:numPr>
        <w:spacing w:after="80"/>
      </w:pPr>
      <w:r>
        <w:rPr>
          <w:rFonts w:ascii="Arial" w:cs="Arial" w:eastAsia="Arial" w:hAnsi="Arial"/>
          <w:sz w:val="20"/>
          <w:szCs w:val="20"/>
        </w:rPr>
        <w:t xml:space="preserve">Articulate your personal definition of risk leadership.</w:t>
      </w:r>
    </w:p>
    <w:p>
      <w:pPr>
        <w:pStyle w:val="ListParagraph"/>
        <w:numPr>
          <w:ilvl w:val="0"/>
          <w:numId w:val="2"/>
        </w:numPr>
        <w:spacing w:after="80"/>
      </w:pPr>
      <w:r>
        <w:rPr>
          <w:rFonts w:ascii="Arial" w:cs="Arial" w:eastAsia="Arial" w:hAnsi="Arial"/>
          <w:sz w:val="20"/>
          <w:szCs w:val="20"/>
        </w:rPr>
        <w:t xml:space="preserve">End with what you are prepared to do next — specifically.</w:t>
      </w:r>
    </w:p>
    <w:p>
      <w:pPr>
        <w:spacing w:after="60"/>
      </w:pPr>
      <w:r>
        <w:t xml:space="preserve"/>
      </w:r>
    </w:p>
    <w:p>
      <w:pPr>
        <w:shd w:fill="D6E4F0" w:val="clear"/>
        <w:spacing w:after="80" w:before="80"/>
        <w:ind w:left="360" w:right="360"/>
      </w:pPr>
      <w:r>
        <w:rPr>
          <w:rFonts w:ascii="Arial" w:cs="Arial" w:eastAsia="Arial" w:hAnsi="Arial"/>
          <w:b w:val="false"/>
          <w:bCs w:val="false"/>
          <w:i/>
          <w:iCs/>
          <w:color w:val="1F3864"/>
          <w:sz w:val="20"/>
          <w:szCs w:val="20"/>
        </w:rPr>
        <w:t xml:space="preserve">Sample: 'In a 12-week risk management practicum simulating a digital health startup, I served as an embedded risk strategist for the SMDC Dashboard Initiative — a patient monitoring platform for multilingual, low-income urban patients. I developed competency in structured stakeholder consensus methods, decision tree modeling under uncertainty, and cross-functional risk synthesis. I learned that the most significant risks in technology projects are not technical — they are organizational: the decisions made under pressure that no one names as risk decisions until it is too late. I am prepared to bring this kind of diagnostic thinking to complex, high-stakes product environments where safety and equity are not negotiable.'</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o"/>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00"/>
      <w:outlineLvl w:val="0"/>
    </w:pPr>
    <w:rPr>
      <w:rFonts w:ascii="Arial" w:cs="Arial" w:eastAsia="Arial" w:hAnsi="Arial"/>
      <w:b/>
      <w:bCs/>
      <w:color w:val="FFFFFF"/>
      <w:sz w:val="28"/>
      <w:szCs w:val="28"/>
    </w:rPr>
  </w:style>
  <w:style w:type="paragraph" w:styleId="Heading2">
    <w:name w:val="Heading 2"/>
    <w:basedOn w:val="Normal"/>
    <w:next w:val="Normal"/>
    <w:qFormat/>
    <w:pPr>
      <w:spacing w:after="80" w:before="160"/>
      <w:outlineLvl w:val="1"/>
    </w:pPr>
    <w:rPr>
      <w:rFonts w:ascii="Arial" w:cs="Arial" w:eastAsia="Arial" w:hAnsi="Arial"/>
      <w:b/>
      <w:bCs/>
      <w:color w:val="1F3864"/>
      <w:sz w:val="22"/>
      <w:szCs w:val="22"/>
    </w:rPr>
  </w:style>
  <w:style w:type="paragraph" w:styleId="Heading3">
    <w:name w:val="Heading 3"/>
    <w:basedOn w:val="Normal"/>
    <w:next w:val="Normal"/>
    <w:qFormat/>
    <w:pPr>
      <w:spacing w:after="60" w:before="120"/>
      <w:outlineLvl w:val="2"/>
    </w:pPr>
    <w:rPr>
      <w:rFonts w:ascii="Arial" w:cs="Arial" w:eastAsia="Arial" w:hAnsi="Arial"/>
      <w:b/>
      <w:bCs/>
      <w:color w:val="2F5496"/>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2026-06-24T21:29:40.364Z</dcterms:created>
  <dcterms:modified xsi:type="dcterms:W3CDTF">2026-06-24T21:29:40.364Z</dcterms:modified>
</cp:coreProperties>
</file>

<file path=docProps/custom.xml><?xml version="1.0" encoding="utf-8"?>
<Properties xmlns="http://schemas.openxmlformats.org/officeDocument/2006/custom-properties" xmlns:vt="http://schemas.openxmlformats.org/officeDocument/2006/docPropsVTypes"/>
</file>