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before="1200"/>
      </w:pPr>
      <w:r>
        <w:rPr>
          <w:rFonts w:ascii="Arial" w:cs="Arial" w:eastAsia="Arial" w:hAnsi="Arial"/>
          <w:b/>
          <w:bCs/>
          <w:color w:val="1F3864"/>
          <w:sz w:val="52"/>
          <w:szCs w:val="52"/>
        </w:rPr>
        <w:t xml:space="preserve">Risk Management Glossary</w:t>
      </w:r>
    </w:p>
    <w:p>
      <w:pPr>
        <w:spacing w:after="160"/>
      </w:pPr>
      <w:r>
        <w:rPr>
          <w:rFonts w:ascii="Arial" w:cs="Arial" w:eastAsia="Arial" w:hAnsi="Arial"/>
          <w:color w:val="2F5496"/>
          <w:sz w:val="26"/>
          <w:szCs w:val="26"/>
        </w:rPr>
        <w:t xml:space="preserve">Milestone 12 — Portfolio Enhancement  |  25 Key Terms</w:t>
      </w:r>
    </w:p>
    <w:p>
      <w:pPr>
        <w:spacing w:after="160"/>
      </w:pPr>
      <w:r>
        <w:rPr>
          <w:rFonts w:ascii="Arial" w:cs="Arial" w:eastAsia="Arial" w:hAnsi="Arial"/>
          <w:color w:val="888888"/>
          <w:sz w:val="20"/>
          <w:szCs w:val="20"/>
        </w:rPr>
        <w:t xml:space="preserve">SMDC Dashboard Initiative  |  Risk Management Practicum  |  Milestone 12</w:t>
      </w:r>
    </w:p>
    <w:p>
      <w:pPr>
        <w:pBdr>
          <w:bottom w:val="single" w:color="2F5496" w:sz="6" w:space="1"/>
        </w:pBdr>
        <w:spacing w:after="120"/>
      </w:pPr>
      <w:r>
        <w:t xml:space="preserve"/>
      </w:r>
    </w:p>
    <w:p>
      <w:pPr>
        <w:pStyle w:val="Heading1"/>
        <w:shd w:fill="2F5496" w:val="clear"/>
        <w:spacing w:after="120" w:before="200"/>
      </w:pPr>
      <w:r>
        <w:rPr>
          <w:rFonts w:ascii="Arial" w:cs="Arial" w:eastAsia="Arial" w:hAnsi="Arial"/>
          <w:b/>
          <w:bCs/>
          <w:color w:val="FFFFFF"/>
          <w:sz w:val="28"/>
          <w:szCs w:val="28"/>
        </w:rPr>
        <w:t xml:space="preserve">How to Use This Glossary</w:t>
      </w:r>
    </w:p>
    <w:p>
      <w:pPr>
        <w:spacing w:after="100"/>
      </w:pPr>
      <w:r>
        <w:rPr>
          <w:rFonts w:ascii="Arial" w:cs="Arial" w:eastAsia="Arial" w:hAnsi="Arial"/>
          <w:sz w:val="20"/>
          <w:szCs w:val="20"/>
        </w:rPr>
        <w:t xml:space="preserve">This glossary contains 25 key terms from the CIS 95C Risk Management Practicum, defined in plain language grounded in the SMDC project context. The definitions are written as they would appear in a professional risk management document — not as textbook definitions, but as working understanding.</w:t>
      </w:r>
    </w:p>
    <w:p>
      <w:pPr>
        <w:spacing w:after="60"/>
      </w:pPr>
      <w:r>
        <w:t xml:space="preserve"/>
      </w:r>
    </w:p>
    <w:p>
      <w:pPr>
        <w:spacing w:after="100"/>
      </w:pPr>
      <w:r>
        <w:rPr>
          <w:rFonts w:ascii="Arial" w:cs="Arial" w:eastAsia="Arial" w:hAnsi="Arial"/>
          <w:sz w:val="20"/>
          <w:szCs w:val="20"/>
        </w:rPr>
        <w:t xml:space="preserve">For the optional portfolio enhancement, you are asked to write your own version of this glossary — in your own words, with your own SMDC examples. The definitions here can serve as a reference point, but the goal is to produce definitions that capture YOUR understanding, including the nuances and surprises you encountered across twelve milestones.</w:t>
      </w:r>
    </w:p>
    <w:p>
      <w:pPr>
        <w:spacing w:after="60"/>
      </w:pPr>
      <w:r>
        <w:t xml:space="preserve"/>
      </w:r>
    </w:p>
    <w:p>
      <w:pPr>
        <w:shd w:fill="FFF2CC" w:val="clear"/>
        <w:spacing w:after="80" w:before="80"/>
        <w:ind w:left="360" w:right="360"/>
      </w:pPr>
      <w:r>
        <w:rPr>
          <w:rFonts w:ascii="Arial" w:cs="Arial" w:eastAsia="Arial" w:hAnsi="Arial"/>
          <w:b w:val="false"/>
          <w:bCs w:val="false"/>
          <w:i/>
          <w:iCs/>
          <w:color w:val="1F3864"/>
          <w:sz w:val="20"/>
          <w:szCs w:val="20"/>
        </w:rPr>
        <w:t xml:space="preserve">Tip: the best glossary entries are the ones where you can write: 'I thought this meant X, but the practicum taught me it actually means Y.' That before/after is the most valuable thing a definition can contain.</w:t>
      </w:r>
    </w:p>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Glossary of Key Terms — 25 Terms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Term</w:t>
            </w:r>
          </w:p>
        </w:tc>
        <w:tc>
          <w:tcPr>
            <w:tcW w:type="dxa" w:w="656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left"/>
            </w:pPr>
            <w:r>
              <w:rPr>
                <w:rFonts w:ascii="Arial" w:cs="Arial" w:eastAsia="Arial" w:hAnsi="Arial"/>
                <w:b/>
                <w:bCs/>
                <w:color w:val="FFFFFF"/>
                <w:sz w:val="18"/>
                <w:szCs w:val="18"/>
              </w:rPr>
              <w:t xml:space="preserve">Definition (in your own words)</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Risk Breakdown Structure (RBS)</w:t>
            </w:r>
          </w:p>
        </w:tc>
        <w:tc>
          <w:tcPr>
            <w:tcW w:type="dxa" w:w="6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 hierarchical decomposition of all potential risks in a project, organized from broad domains (Level 1) down to specific, actionable risk events (Level 3). It is the foundation for all subsequent risk analysis — you cannot score, control, or model what you haven't named.</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Risk Impact Matrix</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 scoring tool that evaluates each identified risk on two axes: likelihood of occurrence (1–5) and severity of impact across multiple dimensions (technical, clinical, regulatory, financial, equity, reputational). The Total Weighted Score creates a priority ranking.</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Delphi Technique</w:t>
            </w:r>
          </w:p>
        </w:tc>
        <w:tc>
          <w:tcPr>
            <w:tcW w:type="dxa" w:w="6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 structured consensus method that collects expert judgment independently before sharing results. In risk management, it surfaces how different stakeholders perceive the same risk — and reveals disagreements that would never emerge in a traditional meeting.</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CO-RISK</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 convergence map classification where all stakeholder groups independently identify the same risk as significant. Despite shared concern, CO-RISK situations often have diffuse ownership — everyone is worried, nobody is responsible.</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CONFLICT ZONE</w:t>
            </w:r>
          </w:p>
        </w:tc>
        <w:tc>
          <w:tcPr>
            <w:tcW w:type="dxa" w:w="6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 convergence map classification where stakeholder groups actively disagree — not because one is wrong, but because their legitimate needs or values are in tension. CONFLICT ZONE risks require facilitated dialogue and explicit tradeoff decisions, not just better code.</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BLIND SPOT</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 convergence map classification where one group is unaware of a risk that another group clearly sees. The most dangerous pattern in cross-stakeholder risk work — decisions are made without all relevant perspectives represented.</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FALSE ALIGNMENT</w:t>
            </w:r>
          </w:p>
        </w:tc>
        <w:tc>
          <w:tcPr>
            <w:tcW w:type="dxa" w:w="6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 convergence map classification where groups appear to agree on a risk but give different reasons when probed. Deceptive consensus that collapses at implementation because the underlying assumptions were never surfaced.</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Root Cause</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The underlying structural, behavioral, temporal, or cultural condition that, if addressed, would prevent a risk from recurring — as opposed to a symptom (which is the observable failure event).</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Temporal Root Cause</w:t>
            </w:r>
          </w:p>
        </w:tc>
        <w:tc>
          <w:tcPr>
            <w:tcW w:type="dxa" w:w="6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 root cause that made sense when the decision was made but is now outdated. Common in startup contexts where early sprint decisions made under pressure remain in the codebase long after the pressure has passed.</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Structural Root Cause</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 root cause built into the architecture, system design, or organizational structure — present regardless of who is in the role. Cannot be fixed by training or policy change; requires redesign.</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Preventive Control</w:t>
            </w:r>
          </w:p>
        </w:tc>
        <w:tc>
          <w:tcPr>
            <w:tcW w:type="dxa" w:w="6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 proactive mechanism that reduces the probability or magnitude of a risk event before it occurs. Distinct from a reactive response, which addresses damage after the event. Milestone 4 focuses exclusively on preventive controls.</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Expected Value (EV)</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In decision tree analysis, EV = Probability × Impact, summed across all outcomes for an option. Higher EV indicates better risk-adjusted return. Important caveat: EV does not capture the asymmetry of catastrophic outcomes — a P=0.30, Impact=10 outcome may be irreversible even if EV is moderate.</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TOWS Matrix</w:t>
            </w:r>
          </w:p>
        </w:tc>
        <w:tc>
          <w:tcPr>
            <w:tcW w:type="dxa" w:w="6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 strategic planning tool that inverts SWOT (Strengths, Weaknesses, Opportunities, Threats) from descriptive to prescriptive: how do we use what we already have to reduce the risks we already see? TOWS generates specific, actionable strategies; SWOT alone generates lists.</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Convergence Map</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 cross-stakeholder analysis tool that compares how different groups (patients, clinicians, engineers) perceive the same risk, revealing CO-RISK, CONFLICT ZONE, BLIND SPOT, and FALSE ALIGNMENT patterns.</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Escalation Tier</w:t>
            </w:r>
          </w:p>
        </w:tc>
        <w:tc>
          <w:tcPr>
            <w:tcW w:type="dxa" w:w="6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 classification of incident severity that determines which level of organizational response is required. Tier 1 = sprint team resolves locally; Tier 2 = cross-functional response with leadership notification; Tier 3 = legal/regulatory/safety event requiring immediate executive response.</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Contingency Plan</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 pre-written, role-specific response protocol for a specific risk activation. Includes trigger condition, immediate response, roles, communication plan, recovery path, and escalation threshold. Value: the team responds calmly and accountably rather than inventing under pressure.</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Alert Fatigue</w:t>
            </w:r>
          </w:p>
        </w:tc>
        <w:tc>
          <w:tcPr>
            <w:tcW w:type="dxa" w:w="6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The clinical phenomenon in which healthcare providers become desensitized to alerts due to high volume or low clinical relevance, resulting in ignored warnings — including critical ones. Also occurs in patients. A key clinical risk for the SMDC dashboard.</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Health Literacy</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The degree to which individuals can obtain, process, and understand basic health information and services needed to make appropriate health decisions. A design constraint for the SMDC patient-facing dashboard — the realistic patient population reads at grade 4–6 level.</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SaMD (Software as a Medical Device)</w:t>
            </w:r>
          </w:p>
        </w:tc>
        <w:tc>
          <w:tcPr>
            <w:tcW w:type="dxa" w:w="6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An FDA classification for software that functions as a medical device without being part of a hardware medical device. Classification as SaMD triggers a regulatory pathway (potentially 510(k) submission) that can add 12–18 months to a project timeline. A key regulatory risk for SMDC.</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HIPAA (Health Insurance Portability and Accountability Act)</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Federal US law governing the privacy and security of individually identifiable health information (PHI). Violations can result in civil monetary penalties up to $1.93M per violation category per year. For SMDC, HIPAA governs all patient data transmitted through or stored by the dashboard.</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Equity Control</w:t>
            </w:r>
          </w:p>
        </w:tc>
        <w:tc>
          <w:tcPr>
            <w:tcW w:type="dxa" w:w="6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 preventive control specifically designed to reduce the probability or magnitude of risks that disproportionately affect marginalized populations. In SMDC, equity controls include plain-language design, multilingual UI, caregiver access mode, and CHW-mediated consent.</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Risk Agility</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The organizational capability to respond to risk events calmly, clearly, and accountably when they occur — as opposed to risk avoidance (preventing all risks) or risk panic (uncoordinated response). Contingency plans build risk agility.</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Decision Loop</w:t>
            </w:r>
          </w:p>
        </w:tc>
        <w:tc>
          <w:tcPr>
            <w:tcW w:type="dxa" w:w="6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In a decision tree, a conditional return node that triggers a new decision if a specific outcome occurs. Example: 'If alert response rate falls below 70% at Week 4, trigger full alert redesign sprint regardless of cost.' Decision loops become monitoring KPIs during the pilot phase.</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Pilot Phase</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The initial limited deployment of the SMDC dashboard to a defined patient population, used to test technical performance, clinical workflow integration, and patient adoption before full-scale launch. Controls must be validated before pilot launch.</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Risk Leadership</w:t>
            </w:r>
          </w:p>
        </w:tc>
        <w:tc>
          <w:tcPr>
            <w:tcW w:type="dxa" w:w="6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The practice of helping organizations see, name, and respond to risk — not just technically, but organizationally, politically, and humanly. Risk leadership requires facilitating conversations that surface what people don't want to say, and making tradeoffs visible that others prefer to leave implicit.</w:t>
            </w:r>
          </w:p>
        </w:tc>
      </w:tr>
    </w:tbl>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Terms That Deserve Special Attention</w:t>
      </w:r>
    </w:p>
    <w:p>
      <w:pPr>
        <w:pStyle w:val="Heading2"/>
        <w:pBdr>
          <w:bottom w:val="single" w:color="2F5496" w:sz="4" w:space="1"/>
        </w:pBdr>
        <w:spacing w:after="80" w:before="160"/>
      </w:pPr>
      <w:r>
        <w:rPr>
          <w:rFonts w:ascii="Arial" w:cs="Arial" w:eastAsia="Arial" w:hAnsi="Arial"/>
          <w:b/>
          <w:bCs/>
          <w:color w:val="1F3864"/>
          <w:sz w:val="22"/>
          <w:szCs w:val="22"/>
        </w:rPr>
        <w:t xml:space="preserve">Risk vs. Symptom</w:t>
      </w:r>
    </w:p>
    <w:p>
      <w:pPr>
        <w:spacing w:after="100"/>
      </w:pPr>
      <w:r>
        <w:rPr>
          <w:rFonts w:ascii="Arial" w:cs="Arial" w:eastAsia="Arial" w:hAnsi="Arial"/>
          <w:sz w:val="20"/>
          <w:szCs w:val="20"/>
        </w:rPr>
        <w:t xml:space="preserve">The most common analytical error in risk work is treating a symptom as a root cause. 'Alert fatigue' is a symptom — it is the observable behavior (clinicians ignoring alerts). The root cause is the condition that produces it: miscalibrated thresholds, single-threshold architecture, investor timeline pressure baked into Sprint 2 decisions. Naming the root cause requires pushing past the observable failure to the organizational condition beneath it.</w:t>
      </w:r>
    </w:p>
    <w:p>
      <w:pPr>
        <w:spacing w:after="60"/>
      </w:pPr>
      <w:r>
        <w:t xml:space="preserve"/>
      </w:r>
    </w:p>
    <w:p>
      <w:pPr>
        <w:pStyle w:val="Heading2"/>
        <w:pBdr>
          <w:bottom w:val="single" w:color="2F5496" w:sz="4" w:space="1"/>
        </w:pBdr>
        <w:spacing w:after="80" w:before="160"/>
      </w:pPr>
      <w:r>
        <w:rPr>
          <w:rFonts w:ascii="Arial" w:cs="Arial" w:eastAsia="Arial" w:hAnsi="Arial"/>
          <w:b/>
          <w:bCs/>
          <w:color w:val="1F3864"/>
          <w:sz w:val="22"/>
          <w:szCs w:val="22"/>
        </w:rPr>
        <w:t xml:space="preserve">Control vs. Response</w:t>
      </w:r>
    </w:p>
    <w:p>
      <w:pPr>
        <w:spacing w:after="100"/>
      </w:pPr>
      <w:r>
        <w:rPr>
          <w:rFonts w:ascii="Arial" w:cs="Arial" w:eastAsia="Arial" w:hAnsi="Arial"/>
          <w:sz w:val="20"/>
          <w:szCs w:val="20"/>
        </w:rPr>
        <w:t xml:space="preserve">A preventive control reduces the probability the risk occurs. A response addresses the damage after it occurs. Most of Milestone 4 is about controls; Milestone 11 is about responses. The distinction matters because teams often design responses and call them controls. 'We'll review alerts if clinicians complain' is a response. 'We'll validate thresholds against 30 days of patient data before every sprint release' is a control.</w:t>
      </w:r>
    </w:p>
    <w:p>
      <w:pPr>
        <w:spacing w:after="60"/>
      </w:pPr>
      <w:r>
        <w:t xml:space="preserve"/>
      </w:r>
    </w:p>
    <w:p>
      <w:pPr>
        <w:pStyle w:val="Heading2"/>
        <w:pBdr>
          <w:bottom w:val="single" w:color="2F5496" w:sz="4" w:space="1"/>
        </w:pBdr>
        <w:spacing w:after="80" w:before="160"/>
      </w:pPr>
      <w:r>
        <w:rPr>
          <w:rFonts w:ascii="Arial" w:cs="Arial" w:eastAsia="Arial" w:hAnsi="Arial"/>
          <w:b/>
          <w:bCs/>
          <w:color w:val="1F3864"/>
          <w:sz w:val="22"/>
          <w:szCs w:val="22"/>
        </w:rPr>
        <w:t xml:space="preserve">Alignment vs. Consensus</w:t>
      </w:r>
    </w:p>
    <w:p>
      <w:pPr>
        <w:spacing w:after="100"/>
      </w:pPr>
      <w:r>
        <w:rPr>
          <w:rFonts w:ascii="Arial" w:cs="Arial" w:eastAsia="Arial" w:hAnsi="Arial"/>
          <w:sz w:val="20"/>
          <w:szCs w:val="20"/>
        </w:rPr>
        <w:t xml:space="preserve">Alignment means people are moving in the same direction with shared understanding. Consensus means people have agreed — often without shared understanding. The most dangerous pattern in the practicum was FALSE ALIGNMENT: groups agreeing on a score while picturing completely different scenarios. True alignment requires surfacing the assumptions beneath the agreement, not just recording the agreement itself.</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o"/>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00"/>
      <w:outlineLvl w:val="0"/>
    </w:pPr>
    <w:rPr>
      <w:rFonts w:ascii="Arial" w:cs="Arial" w:eastAsia="Arial" w:hAnsi="Arial"/>
      <w:b/>
      <w:bCs/>
      <w:color w:val="FFFFFF"/>
      <w:sz w:val="28"/>
      <w:szCs w:val="28"/>
    </w:rPr>
  </w:style>
  <w:style w:type="paragraph" w:styleId="Heading2">
    <w:name w:val="Heading 2"/>
    <w:basedOn w:val="Normal"/>
    <w:next w:val="Normal"/>
    <w:qFormat/>
    <w:pPr>
      <w:spacing w:after="80" w:before="160"/>
      <w:outlineLvl w:val="1"/>
    </w:pPr>
    <w:rPr>
      <w:rFonts w:ascii="Arial" w:cs="Arial" w:eastAsia="Arial" w:hAnsi="Arial"/>
      <w:b/>
      <w:bCs/>
      <w:color w:val="1F3864"/>
      <w:sz w:val="22"/>
      <w:szCs w:val="22"/>
    </w:rPr>
  </w:style>
  <w:style w:type="paragraph" w:styleId="Heading3">
    <w:name w:val="Heading 3"/>
    <w:basedOn w:val="Normal"/>
    <w:next w:val="Normal"/>
    <w:qFormat/>
    <w:pPr>
      <w:spacing w:after="60" w:before="120"/>
      <w:outlineLvl w:val="2"/>
    </w:pPr>
    <w:rPr>
      <w:rFonts w:ascii="Arial" w:cs="Arial" w:eastAsia="Arial" w:hAnsi="Arial"/>
      <w:b/>
      <w:bCs/>
      <w:color w:val="2F5496"/>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2026-06-24T21:29:40.375Z</dcterms:created>
  <dcterms:modified xsi:type="dcterms:W3CDTF">2026-06-24T21:29:40.375Z</dcterms:modified>
</cp:coreProperties>
</file>

<file path=docProps/custom.xml><?xml version="1.0" encoding="utf-8"?>
<Properties xmlns="http://schemas.openxmlformats.org/officeDocument/2006/custom-properties" xmlns:vt="http://schemas.openxmlformats.org/officeDocument/2006/docPropsVTypes"/>
</file>